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098"/>
        <w:gridCol w:w="100"/>
        <w:gridCol w:w="8"/>
      </w:tblGrid>
      <w:tr w:rsidR="006D38E2" w14:paraId="6D8E2970" w14:textId="77777777" w:rsidTr="008D64A6">
        <w:trPr>
          <w:trHeight w:val="340"/>
        </w:trPr>
        <w:tc>
          <w:tcPr>
            <w:tcW w:w="9918" w:type="dxa"/>
            <w:gridSpan w:val="5"/>
            <w:shd w:val="clear" w:color="auto" w:fill="651D32"/>
            <w:vAlign w:val="center"/>
          </w:tcPr>
          <w:p w14:paraId="2EB84079" w14:textId="77777777" w:rsidR="006D38E2" w:rsidRPr="006D38E2" w:rsidRDefault="006D38E2" w:rsidP="006F4B1F">
            <w:pPr>
              <w:pStyle w:val="Prrafodelista"/>
              <w:numPr>
                <w:ilvl w:val="0"/>
                <w:numId w:val="4"/>
              </w:numPr>
              <w:spacing w:after="0" w:line="276" w:lineRule="auto"/>
              <w:rPr>
                <w:b/>
                <w:bCs/>
              </w:rPr>
            </w:pPr>
            <w:r w:rsidRPr="006D38E2">
              <w:rPr>
                <w:b/>
                <w:bCs/>
                <w:color w:val="FFFFFF" w:themeColor="background1"/>
              </w:rPr>
              <w:t>Descripción de la Evaluación</w:t>
            </w:r>
          </w:p>
        </w:tc>
      </w:tr>
      <w:tr w:rsidR="00A70556" w14:paraId="49C9E4C8" w14:textId="77777777" w:rsidTr="008D64A6">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4"/>
            <w:shd w:val="clear" w:color="auto" w:fill="auto"/>
            <w:vAlign w:val="center"/>
          </w:tcPr>
          <w:p w14:paraId="6C77C4E8" w14:textId="758620B3" w:rsidR="00A70556" w:rsidRDefault="00A70556" w:rsidP="0034573D">
            <w:pPr>
              <w:spacing w:after="0" w:line="276" w:lineRule="auto"/>
            </w:pPr>
            <w:r w:rsidRPr="009C2562">
              <w:t xml:space="preserve">Evaluación </w:t>
            </w:r>
            <w:r w:rsidR="0034573D">
              <w:t>interna de Consistencia y Resultados (</w:t>
            </w:r>
            <w:proofErr w:type="spellStart"/>
            <w:r w:rsidR="0034573D">
              <w:t>ECyR</w:t>
            </w:r>
            <w:proofErr w:type="spellEnd"/>
            <w:r w:rsidR="0034573D">
              <w:t>)</w:t>
            </w:r>
          </w:p>
        </w:tc>
      </w:tr>
      <w:tr w:rsidR="008D64A6" w:rsidRPr="00A70556" w14:paraId="1971483F" w14:textId="77777777" w:rsidTr="008D64A6">
        <w:trPr>
          <w:gridAfter w:val="2"/>
          <w:wAfter w:w="108" w:type="dxa"/>
          <w:trHeight w:val="340"/>
        </w:trPr>
        <w:tc>
          <w:tcPr>
            <w:tcW w:w="4712" w:type="dxa"/>
            <w:gridSpan w:val="2"/>
            <w:shd w:val="clear" w:color="auto" w:fill="F2F2F2" w:themeFill="background1" w:themeFillShade="F2"/>
            <w:vAlign w:val="center"/>
          </w:tcPr>
          <w:p w14:paraId="1567F4E6" w14:textId="77777777" w:rsidR="008D64A6" w:rsidRPr="00A70556" w:rsidRDefault="008D64A6" w:rsidP="00B25C6B">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098" w:type="dxa"/>
            <w:shd w:val="clear" w:color="auto" w:fill="F2F2F2" w:themeFill="background1" w:themeFillShade="F2"/>
            <w:vAlign w:val="center"/>
          </w:tcPr>
          <w:p w14:paraId="502AEA74" w14:textId="77777777" w:rsidR="008D64A6" w:rsidRPr="00A70556" w:rsidRDefault="008D64A6" w:rsidP="00B25C6B">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8D64A6" w:rsidRPr="008D64A6" w14:paraId="6B877547" w14:textId="77777777" w:rsidTr="008D64A6">
        <w:trPr>
          <w:gridAfter w:val="2"/>
          <w:wAfter w:w="108" w:type="dxa"/>
          <w:trHeight w:val="340"/>
        </w:trPr>
        <w:tc>
          <w:tcPr>
            <w:tcW w:w="4712" w:type="dxa"/>
            <w:gridSpan w:val="2"/>
            <w:shd w:val="clear" w:color="auto" w:fill="auto"/>
            <w:vAlign w:val="center"/>
          </w:tcPr>
          <w:p w14:paraId="29ED6624" w14:textId="72975FFC" w:rsidR="008D64A6" w:rsidRPr="008D64A6" w:rsidRDefault="008D64A6" w:rsidP="00B25C6B">
            <w:pPr>
              <w:spacing w:after="0" w:line="276" w:lineRule="auto"/>
              <w:jc w:val="center"/>
              <w:rPr>
                <w:bCs/>
              </w:rPr>
            </w:pPr>
            <w:r w:rsidRPr="008D64A6">
              <w:t>12/08/2022</w:t>
            </w:r>
          </w:p>
        </w:tc>
        <w:tc>
          <w:tcPr>
            <w:tcW w:w="5098" w:type="dxa"/>
            <w:shd w:val="clear" w:color="auto" w:fill="auto"/>
            <w:vAlign w:val="center"/>
          </w:tcPr>
          <w:p w14:paraId="137430F9" w14:textId="3B576A74" w:rsidR="008D64A6" w:rsidRPr="008D64A6" w:rsidRDefault="008D64A6" w:rsidP="00B25C6B">
            <w:pPr>
              <w:spacing w:after="0" w:line="276" w:lineRule="auto"/>
              <w:jc w:val="center"/>
              <w:rPr>
                <w:bCs/>
              </w:rPr>
            </w:pPr>
            <w:r w:rsidRPr="008D64A6">
              <w:rPr>
                <w:bCs/>
              </w:rPr>
              <w:t>30/11/2022</w:t>
            </w:r>
          </w:p>
        </w:tc>
      </w:tr>
      <w:tr w:rsidR="00A70556" w14:paraId="6B7EC127" w14:textId="77777777" w:rsidTr="008D64A6">
        <w:trPr>
          <w:trHeight w:val="340"/>
        </w:trPr>
        <w:tc>
          <w:tcPr>
            <w:tcW w:w="9918" w:type="dxa"/>
            <w:gridSpan w:val="5"/>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A70556" w14:paraId="37454C6A" w14:textId="77777777" w:rsidTr="008D64A6">
        <w:trPr>
          <w:trHeight w:val="340"/>
        </w:trPr>
        <w:tc>
          <w:tcPr>
            <w:tcW w:w="9918" w:type="dxa"/>
            <w:gridSpan w:val="5"/>
            <w:shd w:val="clear" w:color="auto" w:fill="auto"/>
            <w:vAlign w:val="center"/>
          </w:tcPr>
          <w:p w14:paraId="78C4F704" w14:textId="312F9BF3" w:rsidR="00A70556" w:rsidRPr="00581B4A" w:rsidRDefault="00A165BB" w:rsidP="00521401">
            <w:pPr>
              <w:pStyle w:val="Prrafodelista"/>
              <w:spacing w:after="0" w:line="276" w:lineRule="auto"/>
              <w:ind w:left="37"/>
              <w:jc w:val="both"/>
              <w:rPr>
                <w:b/>
                <w:bCs/>
              </w:rPr>
            </w:pPr>
            <w:r w:rsidRPr="0008479E">
              <w:t xml:space="preserve">Dr. Gerardo Kenny </w:t>
            </w:r>
            <w:proofErr w:type="spellStart"/>
            <w:r w:rsidRPr="0008479E">
              <w:t>Inzunza</w:t>
            </w:r>
            <w:proofErr w:type="spellEnd"/>
            <w:r w:rsidRPr="0008479E">
              <w:t xml:space="preserve"> Leyva</w:t>
            </w:r>
            <w:r w:rsidR="00A70556" w:rsidRPr="0008479E">
              <w:t xml:space="preserve">, </w:t>
            </w:r>
            <w:r w:rsidRPr="0008479E">
              <w:t>Dirección de Prevención y Promoción a la Salud de los Servicios de Salud de Sinaloa</w:t>
            </w:r>
          </w:p>
        </w:tc>
      </w:tr>
      <w:tr w:rsidR="00A70556" w14:paraId="79DD6CAD" w14:textId="77777777" w:rsidTr="008D64A6">
        <w:trPr>
          <w:gridAfter w:val="1"/>
          <w:wAfter w:w="8" w:type="dxa"/>
          <w:trHeight w:val="340"/>
        </w:trPr>
        <w:tc>
          <w:tcPr>
            <w:tcW w:w="9910" w:type="dxa"/>
            <w:gridSpan w:val="4"/>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2787CB05" w:rsidR="00B920F2" w:rsidRDefault="0034573D" w:rsidP="00521401">
      <w:pPr>
        <w:pStyle w:val="Prrafodelista"/>
        <w:spacing w:after="0" w:line="276" w:lineRule="auto"/>
        <w:ind w:left="142"/>
        <w:jc w:val="both"/>
      </w:pPr>
      <w:r w:rsidRPr="000F3F9D">
        <w:t>Evaluar la consistencia y orientación a resultados</w:t>
      </w:r>
      <w:r>
        <w:t xml:space="preserve"> del programa </w:t>
      </w:r>
      <w:r w:rsidR="006174B7" w:rsidRPr="006174B7">
        <w:rPr>
          <w:b/>
        </w:rPr>
        <w:t>Dengue</w:t>
      </w:r>
      <w:r w:rsidRPr="000F3F9D">
        <w:t xml:space="preserve"> en su ejercicio fiscal 2021, con la finalidad de proveer información que retroalimente su diseño, gestión y resultados.</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5D7B90A4" w14:textId="77777777" w:rsidR="0034573D" w:rsidRDefault="0034573D" w:rsidP="0034573D">
      <w:pPr>
        <w:pStyle w:val="Prrafodelista"/>
        <w:numPr>
          <w:ilvl w:val="0"/>
          <w:numId w:val="2"/>
        </w:numPr>
        <w:spacing w:after="0" w:line="276" w:lineRule="auto"/>
        <w:jc w:val="both"/>
      </w:pPr>
      <w:r>
        <w:t>Analizar la lógica y congruencia en el diseño del programa, su vinculación con la planeación sectorial, estatal y/o nacional, la consistencia entre el diseño y la normatividad aplicable, así como las posibles complementariedades y/o coincidencias con otros programas federales.</w:t>
      </w:r>
    </w:p>
    <w:p w14:paraId="6868D325" w14:textId="77777777" w:rsidR="0034573D" w:rsidRDefault="0034573D" w:rsidP="0034573D">
      <w:pPr>
        <w:pStyle w:val="Prrafodelista"/>
        <w:numPr>
          <w:ilvl w:val="0"/>
          <w:numId w:val="2"/>
        </w:numPr>
        <w:spacing w:after="0" w:line="276" w:lineRule="auto"/>
        <w:jc w:val="both"/>
      </w:pPr>
      <w:r>
        <w:t>Identificar si el programa cuenta con instrumentos de planeación y orientación hacia resultados.</w:t>
      </w:r>
    </w:p>
    <w:p w14:paraId="18791E0B" w14:textId="77777777" w:rsidR="0034573D" w:rsidRDefault="0034573D" w:rsidP="0034573D">
      <w:pPr>
        <w:pStyle w:val="Prrafodelista"/>
        <w:numPr>
          <w:ilvl w:val="0"/>
          <w:numId w:val="2"/>
        </w:numPr>
        <w:spacing w:after="0" w:line="276" w:lineRule="auto"/>
        <w:jc w:val="both"/>
      </w:pPr>
      <w:r>
        <w:t>Examinar si el programa ha definido una estrategia de cobertura de mediano y de largo plazo y los avances presentados en el ejercicio fiscal evaluado.</w:t>
      </w:r>
    </w:p>
    <w:p w14:paraId="7982392D" w14:textId="77777777" w:rsidR="0034573D" w:rsidRDefault="0034573D" w:rsidP="0034573D">
      <w:pPr>
        <w:pStyle w:val="Prrafodelista"/>
        <w:numPr>
          <w:ilvl w:val="0"/>
          <w:numId w:val="2"/>
        </w:numPr>
        <w:spacing w:after="0" w:line="276" w:lineRule="auto"/>
        <w:jc w:val="both"/>
      </w:pPr>
      <w:r>
        <w:t>Analizar los principales procesos establecidos en las ROP o en la normatividad aplicable; así como los sistemas de información con los que cuenta el programa y sus mecanismos de rendición de cuentas.</w:t>
      </w:r>
    </w:p>
    <w:p w14:paraId="13D8617F" w14:textId="77777777" w:rsidR="0034573D" w:rsidRDefault="0034573D" w:rsidP="0034573D">
      <w:pPr>
        <w:pStyle w:val="Prrafodelista"/>
        <w:numPr>
          <w:ilvl w:val="0"/>
          <w:numId w:val="2"/>
        </w:numPr>
        <w:spacing w:after="0" w:line="276" w:lineRule="auto"/>
        <w:jc w:val="both"/>
      </w:pPr>
      <w:r>
        <w:t>Identificar si el programa cuenta con instrumentos que le permitan recabar información para medir el grado de satisfacción de los beneficiarios del programa y sus resultados.</w:t>
      </w:r>
    </w:p>
    <w:p w14:paraId="2CCD5C65" w14:textId="6F20F936" w:rsidR="009B7088" w:rsidRDefault="0034573D" w:rsidP="0034573D">
      <w:pPr>
        <w:pStyle w:val="Prrafodelista"/>
        <w:numPr>
          <w:ilvl w:val="0"/>
          <w:numId w:val="2"/>
        </w:numPr>
        <w:spacing w:after="0" w:line="276" w:lineRule="auto"/>
        <w:jc w:val="both"/>
      </w:pPr>
      <w:r>
        <w:t>Examinar los resultados del programa respecto a la atención del problema para el que fue creado.</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49B527A6"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de Consistencia y Resultados</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34573D" w:rsidRDefault="0034573D" w:rsidP="0034573D">
            <w:pPr>
              <w:spacing w:after="0" w:line="240" w:lineRule="auto"/>
              <w:jc w:val="center"/>
              <w:rPr>
                <w:bCs/>
              </w:rPr>
            </w:pPr>
            <w:r w:rsidRPr="0034573D">
              <w:rPr>
                <w:bCs/>
              </w:rPr>
              <w:t>X</w:t>
            </w:r>
          </w:p>
        </w:tc>
        <w:tc>
          <w:tcPr>
            <w:tcW w:w="2126" w:type="dxa"/>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35641E2" w14:textId="78B80E14" w:rsidR="00581B4A" w:rsidRPr="00581B4A" w:rsidRDefault="0034573D" w:rsidP="00090637">
            <w:pPr>
              <w:spacing w:after="0" w:line="276" w:lineRule="auto"/>
              <w:jc w:val="center"/>
              <w:rPr>
                <w:b/>
                <w:bCs/>
              </w:rPr>
            </w:pPr>
            <w:r>
              <w:t>De Consistencia y Resultados</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w:t>
      </w:r>
      <w:proofErr w:type="spellStart"/>
      <w:r>
        <w:t>TdR</w:t>
      </w:r>
      <w:proofErr w:type="spellEnd"/>
      <w:r>
        <w:t xml:space="preserve"> aplicados.</w:t>
      </w:r>
    </w:p>
    <w:p w14:paraId="385076F0" w14:textId="77777777" w:rsidR="006D38E2" w:rsidRDefault="006D38E2" w:rsidP="006F4B1F">
      <w:pPr>
        <w:pStyle w:val="Prrafodelista"/>
        <w:numPr>
          <w:ilvl w:val="0"/>
          <w:numId w:val="3"/>
        </w:numPr>
        <w:spacing w:after="0" w:line="276" w:lineRule="auto"/>
        <w:ind w:left="567" w:hanging="219"/>
        <w:jc w:val="both"/>
        <w:sectPr w:rsidR="006D38E2" w:rsidSect="006047A9">
          <w:headerReference w:type="default" r:id="rId8"/>
          <w:footerReference w:type="default" r:id="rId9"/>
          <w:headerReference w:type="first" r:id="rId10"/>
          <w:footerReference w:type="first" r:id="rId11"/>
          <w:pgSz w:w="12240" w:h="15840"/>
          <w:pgMar w:top="1418" w:right="902" w:bottom="1134" w:left="1418" w:header="567" w:footer="264" w:gutter="0"/>
          <w:cols w:space="708"/>
          <w:titlePg/>
          <w:docGrid w:linePitch="360"/>
        </w:sectPr>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p>
    <w:tbl>
      <w:tblPr>
        <w:tblStyle w:val="Tablaconcuadrcula"/>
        <w:tblW w:w="0" w:type="auto"/>
        <w:tblLook w:val="04A0" w:firstRow="1" w:lastRow="0" w:firstColumn="1" w:lastColumn="0" w:noHBand="0" w:noVBand="1"/>
      </w:tblPr>
      <w:tblGrid>
        <w:gridCol w:w="9910"/>
      </w:tblGrid>
      <w:tr w:rsidR="00823754" w14:paraId="62347B8F" w14:textId="77777777" w:rsidTr="00A165BB">
        <w:trPr>
          <w:trHeight w:val="340"/>
          <w:tblHeader/>
        </w:trPr>
        <w:tc>
          <w:tcPr>
            <w:tcW w:w="9910" w:type="dxa"/>
            <w:tcBorders>
              <w:top w:val="nil"/>
              <w:left w:val="nil"/>
              <w:bottom w:val="nil"/>
              <w:right w:val="nil"/>
            </w:tcBorders>
            <w:shd w:val="clear" w:color="auto" w:fill="651D32"/>
            <w:vAlign w:val="center"/>
          </w:tcPr>
          <w:p w14:paraId="01EFA909" w14:textId="77777777" w:rsidR="00823754" w:rsidRDefault="00823754" w:rsidP="006F4B1F">
            <w:pPr>
              <w:pStyle w:val="Prrafodelista"/>
              <w:numPr>
                <w:ilvl w:val="0"/>
                <w:numId w:val="4"/>
              </w:numPr>
              <w:spacing w:after="0" w:line="276" w:lineRule="auto"/>
              <w:jc w:val="both"/>
            </w:pPr>
            <w:r w:rsidRPr="00823754">
              <w:rPr>
                <w:b/>
                <w:bCs/>
                <w:color w:val="FFFFFF" w:themeColor="background1"/>
              </w:rPr>
              <w:lastRenderedPageBreak/>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6F4B1F">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3A16BA0D" w14:textId="4CDDE1E1" w:rsidR="006174B7" w:rsidRDefault="006174B7" w:rsidP="00BF043E">
      <w:pPr>
        <w:spacing w:line="276" w:lineRule="auto"/>
        <w:ind w:left="284"/>
        <w:jc w:val="both"/>
      </w:pPr>
      <w:r>
        <w:t xml:space="preserve">El problema público de Dengue, </w:t>
      </w:r>
      <w:r w:rsidRPr="006174B7">
        <w:t>es la población de las localidades prioritarias del Estado de Sinaloa que presenta una alta incidencia de dengue, asimismo se pretende contribuir a la disminución de la tasa de letalidad por dengue mediante la atención integral en unidades de salud.</w:t>
      </w:r>
    </w:p>
    <w:p w14:paraId="503CBFF4" w14:textId="77777777" w:rsidR="006174B7" w:rsidRDefault="006174B7" w:rsidP="00BF043E">
      <w:pPr>
        <w:spacing w:line="276" w:lineRule="auto"/>
        <w:ind w:left="284"/>
        <w:jc w:val="both"/>
      </w:pPr>
      <w:r w:rsidRPr="006174B7">
        <w:t>A través de estos objetivos el programa se encuentra alineado al PED Sinaloa 2017 – 2021, dentro del Eje estratégico II, “Desarrollo humano y social”, tema 4 “Por un entorno y sociedad saludable”.</w:t>
      </w:r>
    </w:p>
    <w:p w14:paraId="5C2E6485" w14:textId="77777777" w:rsidR="006174B7" w:rsidRDefault="006174B7" w:rsidP="00BF043E">
      <w:pPr>
        <w:ind w:left="284"/>
      </w:pPr>
      <w:r w:rsidRPr="006174B7">
        <w:t>Además, en el PSS 2017 – 2021 derivado del PED Sinaloa 2017 – 2021, se establece que el objetivo del programa es “Contribuir en la disminución de la carga social de enfermedad y muerte por Dengue, mediante acciones sectoriales e intersectoriales y comunitarias de manejo del mosquito vector” a través de la estrategia “Incorporar la atención del dengue al Sistema de Monitoreo de la Calidad en el primer y segundo nivel de atención”, lo anterior, alineado al instrumento 2.7 “Fortalecer el esquema de prevención y control de enfermedades transmitidas por vector” de la política 2 “Implementar un modelo de atención a la salud integral e integrada”.</w:t>
      </w:r>
    </w:p>
    <w:p w14:paraId="4A8A8460" w14:textId="1E9E3DBB" w:rsidR="00BF043E" w:rsidRDefault="006174B7" w:rsidP="00BF043E">
      <w:pPr>
        <w:ind w:left="284"/>
      </w:pPr>
      <w:r>
        <w:t xml:space="preserve">Dengue, </w:t>
      </w:r>
      <w:r w:rsidR="00BF043E" w:rsidRPr="006815E6">
        <w:t>se encuentra contemplad</w:t>
      </w:r>
      <w:r>
        <w:t>o</w:t>
      </w:r>
      <w:r w:rsidR="00BF043E" w:rsidRPr="006815E6">
        <w:t xml:space="preserve"> dentro de los Objetivos del Desarrollo Sostenible y se identifica un vínculo importante que hay en las líneas de acción que atiende el programa con los objetivos y metas establecidos en los objetivos de Desarrollo Sostenible</w:t>
      </w:r>
      <w:r w:rsidR="00BF043E">
        <w:t>, como serían los siguientes:</w:t>
      </w:r>
    </w:p>
    <w:p w14:paraId="3F052C38" w14:textId="77777777" w:rsidR="00BF043E" w:rsidRDefault="00BF043E" w:rsidP="00BF043E">
      <w:pPr>
        <w:pStyle w:val="Prrafodelista"/>
        <w:numPr>
          <w:ilvl w:val="0"/>
          <w:numId w:val="19"/>
        </w:numPr>
        <w:spacing w:after="200" w:line="360" w:lineRule="auto"/>
        <w:jc w:val="both"/>
      </w:pPr>
      <w:r>
        <w:t>O</w:t>
      </w:r>
      <w:r w:rsidRPr="006815E6">
        <w:t xml:space="preserve">bjetivo </w:t>
      </w:r>
      <w:r>
        <w:t xml:space="preserve">3. “Salud y bienestar”. </w:t>
      </w:r>
    </w:p>
    <w:p w14:paraId="1E4FB590" w14:textId="77777777" w:rsidR="006174B7" w:rsidRPr="006174B7" w:rsidRDefault="006174B7" w:rsidP="006174B7">
      <w:pPr>
        <w:pStyle w:val="Prrafodelista"/>
        <w:numPr>
          <w:ilvl w:val="0"/>
          <w:numId w:val="19"/>
        </w:numPr>
        <w:spacing w:after="200" w:line="360" w:lineRule="auto"/>
        <w:jc w:val="both"/>
      </w:pPr>
      <w:r w:rsidRPr="006174B7">
        <w:t>Objetivo específico 3.3 “Poner fin a las epidemias del SIDA, la tuberculosis, la malaria y las enfermedades tropicales desatendidas y combatir la hepatitis, las enfermedades transmitidas por el agua y otras enfermedades transmisibles”.</w:t>
      </w:r>
    </w:p>
    <w:p w14:paraId="245FB4D0" w14:textId="3C21E8E8" w:rsidR="006174B7" w:rsidRDefault="006174B7" w:rsidP="006174B7">
      <w:r>
        <w:t>El programa cuenta con las siguientes guías:</w:t>
      </w:r>
    </w:p>
    <w:p w14:paraId="06A85819" w14:textId="77777777" w:rsidR="006174B7" w:rsidRDefault="006174B7" w:rsidP="005659A1">
      <w:pPr>
        <w:pStyle w:val="Prrafodelista"/>
        <w:numPr>
          <w:ilvl w:val="0"/>
          <w:numId w:val="22"/>
        </w:numPr>
        <w:spacing w:after="200" w:line="360" w:lineRule="auto"/>
        <w:jc w:val="both"/>
      </w:pPr>
      <w:r>
        <w:t xml:space="preserve">Guía metodológica para el rociado </w:t>
      </w:r>
      <w:proofErr w:type="spellStart"/>
      <w:r>
        <w:t>intradomiciliario</w:t>
      </w:r>
      <w:proofErr w:type="spellEnd"/>
    </w:p>
    <w:p w14:paraId="034863F8" w14:textId="77777777" w:rsidR="006174B7" w:rsidRDefault="006174B7" w:rsidP="005659A1">
      <w:pPr>
        <w:pStyle w:val="Prrafodelista"/>
        <w:numPr>
          <w:ilvl w:val="0"/>
          <w:numId w:val="22"/>
        </w:numPr>
        <w:spacing w:after="200" w:line="360" w:lineRule="auto"/>
        <w:jc w:val="both"/>
      </w:pPr>
      <w:r>
        <w:t>Guía metodológica para las acciones de control larvario</w:t>
      </w:r>
    </w:p>
    <w:p w14:paraId="0B2FCD01" w14:textId="77777777" w:rsidR="006174B7" w:rsidRDefault="006174B7" w:rsidP="005659A1">
      <w:pPr>
        <w:pStyle w:val="Prrafodelista"/>
        <w:numPr>
          <w:ilvl w:val="0"/>
          <w:numId w:val="22"/>
        </w:numPr>
        <w:spacing w:after="200" w:line="360" w:lineRule="auto"/>
        <w:jc w:val="both"/>
      </w:pPr>
      <w:r w:rsidRPr="00605FE1">
        <w:t>Gu</w:t>
      </w:r>
      <w:r>
        <w:t>ía</w:t>
      </w:r>
      <w:r w:rsidRPr="00605FE1">
        <w:t xml:space="preserve"> metodológica para estudios entomológicos en fase larvaria y </w:t>
      </w:r>
      <w:proofErr w:type="spellStart"/>
      <w:r w:rsidRPr="00605FE1">
        <w:t>pupal</w:t>
      </w:r>
      <w:proofErr w:type="spellEnd"/>
    </w:p>
    <w:p w14:paraId="43D863C6" w14:textId="77777777" w:rsidR="006174B7" w:rsidRDefault="006174B7" w:rsidP="005659A1">
      <w:pPr>
        <w:pStyle w:val="Prrafodelista"/>
        <w:numPr>
          <w:ilvl w:val="0"/>
          <w:numId w:val="22"/>
        </w:numPr>
        <w:spacing w:after="200" w:line="360" w:lineRule="auto"/>
        <w:jc w:val="both"/>
      </w:pPr>
      <w:r>
        <w:t>G</w:t>
      </w:r>
      <w:r w:rsidRPr="00876DC4">
        <w:t xml:space="preserve">uía metodológica para la vigilancia entomológica con </w:t>
      </w:r>
      <w:proofErr w:type="spellStart"/>
      <w:r w:rsidRPr="00876DC4">
        <w:t>ovitrampas</w:t>
      </w:r>
      <w:proofErr w:type="spellEnd"/>
    </w:p>
    <w:p w14:paraId="5F788D8B" w14:textId="77777777" w:rsidR="006174B7" w:rsidRDefault="006174B7" w:rsidP="005659A1">
      <w:pPr>
        <w:pStyle w:val="Prrafodelista"/>
        <w:numPr>
          <w:ilvl w:val="0"/>
          <w:numId w:val="22"/>
        </w:numPr>
        <w:spacing w:after="200" w:line="360" w:lineRule="auto"/>
        <w:jc w:val="both"/>
      </w:pPr>
      <w:r>
        <w:t>G</w:t>
      </w:r>
      <w:r w:rsidRPr="00876DC4">
        <w:t>uía metodológica para la nebulización espacial UBV</w:t>
      </w:r>
    </w:p>
    <w:p w14:paraId="2EDAEA42" w14:textId="77777777" w:rsidR="006174B7" w:rsidRDefault="006174B7" w:rsidP="005659A1">
      <w:pPr>
        <w:pStyle w:val="Prrafodelista"/>
        <w:numPr>
          <w:ilvl w:val="0"/>
          <w:numId w:val="22"/>
        </w:numPr>
        <w:spacing w:after="200" w:line="360" w:lineRule="auto"/>
        <w:contextualSpacing w:val="0"/>
        <w:jc w:val="both"/>
      </w:pPr>
      <w:r w:rsidRPr="00876DC4">
        <w:t>Gu</w:t>
      </w:r>
      <w:r>
        <w:t>í</w:t>
      </w:r>
      <w:r w:rsidRPr="00876DC4">
        <w:t>a metodológica para la nebulización térmica</w:t>
      </w:r>
    </w:p>
    <w:p w14:paraId="3D2E662A" w14:textId="1C693FC2" w:rsidR="00BF043E" w:rsidRDefault="006174B7" w:rsidP="006174B7">
      <w:pPr>
        <w:spacing w:line="276" w:lineRule="auto"/>
        <w:jc w:val="both"/>
      </w:pPr>
      <w:r w:rsidRPr="006174B7">
        <w:t>El objetivo del programa son las personas del Estado de Sinaloa que se encuentran en riesgo de padecer Dengue, en el ejercicio 2021 fueron 1,725,388 personas. En lo registrado en el ejercicio 2021, se captaron a 1,449,696 personas atendidas, con lo que se alcanzó una cobertura del 84.0% de población.</w:t>
      </w:r>
    </w:p>
    <w:tbl>
      <w:tblPr>
        <w:tblStyle w:val="Tablaconcuadrcula"/>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281"/>
        <w:gridCol w:w="1124"/>
        <w:gridCol w:w="1026"/>
        <w:gridCol w:w="1134"/>
        <w:gridCol w:w="1134"/>
      </w:tblGrid>
      <w:tr w:rsidR="00AC6C96" w:rsidRPr="006815E6" w14:paraId="549D396F" w14:textId="77777777" w:rsidTr="006174B7">
        <w:trPr>
          <w:trHeight w:val="680"/>
          <w:tblHeader/>
          <w:jc w:val="center"/>
        </w:trPr>
        <w:tc>
          <w:tcPr>
            <w:tcW w:w="1281" w:type="dxa"/>
            <w:shd w:val="clear" w:color="auto" w:fill="651D32"/>
            <w:vAlign w:val="center"/>
          </w:tcPr>
          <w:p w14:paraId="7D58AA82" w14:textId="77777777" w:rsidR="00AC6C96" w:rsidRPr="006815E6" w:rsidRDefault="00AC6C96" w:rsidP="002C4887">
            <w:pPr>
              <w:spacing w:after="0" w:line="240" w:lineRule="auto"/>
              <w:jc w:val="center"/>
            </w:pPr>
            <w:r w:rsidRPr="006815E6">
              <w:rPr>
                <w:b/>
                <w:bCs/>
                <w:sz w:val="20"/>
              </w:rPr>
              <w:lastRenderedPageBreak/>
              <w:t>Tipo de población</w:t>
            </w:r>
          </w:p>
        </w:tc>
        <w:tc>
          <w:tcPr>
            <w:tcW w:w="1124" w:type="dxa"/>
            <w:shd w:val="clear" w:color="auto" w:fill="651D32"/>
            <w:vAlign w:val="center"/>
          </w:tcPr>
          <w:p w14:paraId="4D922D05" w14:textId="77777777" w:rsidR="00AC6C96" w:rsidRPr="006815E6" w:rsidRDefault="00AC6C96" w:rsidP="002C4887">
            <w:pPr>
              <w:spacing w:after="0" w:line="240" w:lineRule="auto"/>
              <w:jc w:val="center"/>
            </w:pPr>
            <w:r w:rsidRPr="006815E6">
              <w:rPr>
                <w:b/>
                <w:bCs/>
                <w:sz w:val="20"/>
              </w:rPr>
              <w:t>Unidad de medida</w:t>
            </w:r>
          </w:p>
        </w:tc>
        <w:tc>
          <w:tcPr>
            <w:tcW w:w="992" w:type="dxa"/>
            <w:shd w:val="clear" w:color="auto" w:fill="651D32"/>
            <w:vAlign w:val="center"/>
          </w:tcPr>
          <w:p w14:paraId="7BD5F2F4" w14:textId="77777777" w:rsidR="00AC6C96" w:rsidRPr="006815E6" w:rsidRDefault="00AC6C96" w:rsidP="002C4887">
            <w:pPr>
              <w:spacing w:after="0" w:line="240" w:lineRule="auto"/>
              <w:jc w:val="center"/>
            </w:pPr>
            <w:r w:rsidRPr="006815E6">
              <w:rPr>
                <w:b/>
                <w:bCs/>
                <w:sz w:val="20"/>
              </w:rPr>
              <w:t>2019</w:t>
            </w:r>
          </w:p>
        </w:tc>
        <w:tc>
          <w:tcPr>
            <w:tcW w:w="1134" w:type="dxa"/>
            <w:shd w:val="clear" w:color="auto" w:fill="651D32"/>
            <w:vAlign w:val="center"/>
          </w:tcPr>
          <w:p w14:paraId="59D6682F" w14:textId="77777777" w:rsidR="00AC6C96" w:rsidRPr="006815E6" w:rsidRDefault="00AC6C96" w:rsidP="002C4887">
            <w:pPr>
              <w:spacing w:after="0" w:line="240" w:lineRule="auto"/>
              <w:jc w:val="center"/>
            </w:pPr>
            <w:r w:rsidRPr="006815E6">
              <w:rPr>
                <w:b/>
                <w:bCs/>
                <w:sz w:val="20"/>
              </w:rPr>
              <w:t>2020</w:t>
            </w:r>
          </w:p>
        </w:tc>
        <w:tc>
          <w:tcPr>
            <w:tcW w:w="1134" w:type="dxa"/>
            <w:shd w:val="clear" w:color="auto" w:fill="651D32"/>
            <w:vAlign w:val="center"/>
          </w:tcPr>
          <w:p w14:paraId="1167C27F" w14:textId="77777777" w:rsidR="00AC6C96" w:rsidRPr="006815E6" w:rsidRDefault="00AC6C96" w:rsidP="002C4887">
            <w:pPr>
              <w:spacing w:after="0" w:line="240" w:lineRule="auto"/>
              <w:jc w:val="center"/>
            </w:pPr>
            <w:r w:rsidRPr="006815E6">
              <w:rPr>
                <w:b/>
                <w:bCs/>
                <w:sz w:val="20"/>
              </w:rPr>
              <w:t>2021</w:t>
            </w:r>
          </w:p>
        </w:tc>
      </w:tr>
      <w:tr w:rsidR="006174B7" w:rsidRPr="006815E6" w14:paraId="26701C75" w14:textId="77777777" w:rsidTr="00AC6C96">
        <w:trPr>
          <w:trHeight w:val="340"/>
          <w:jc w:val="center"/>
        </w:trPr>
        <w:tc>
          <w:tcPr>
            <w:tcW w:w="1281" w:type="dxa"/>
            <w:vAlign w:val="center"/>
          </w:tcPr>
          <w:p w14:paraId="2EB1331D" w14:textId="77777777" w:rsidR="006174B7" w:rsidRPr="006815E6" w:rsidRDefault="006174B7" w:rsidP="006174B7">
            <w:pPr>
              <w:spacing w:after="0" w:line="240" w:lineRule="auto"/>
              <w:jc w:val="center"/>
            </w:pPr>
            <w:r w:rsidRPr="006815E6">
              <w:rPr>
                <w:sz w:val="20"/>
              </w:rPr>
              <w:t>Potencial</w:t>
            </w:r>
          </w:p>
        </w:tc>
        <w:tc>
          <w:tcPr>
            <w:tcW w:w="1124" w:type="dxa"/>
            <w:vAlign w:val="center"/>
          </w:tcPr>
          <w:p w14:paraId="5F02A691" w14:textId="77777777" w:rsidR="006174B7" w:rsidRPr="006815E6" w:rsidRDefault="006174B7" w:rsidP="006174B7">
            <w:pPr>
              <w:spacing w:after="0" w:line="240" w:lineRule="auto"/>
              <w:jc w:val="center"/>
            </w:pPr>
            <w:r w:rsidRPr="006815E6">
              <w:rPr>
                <w:sz w:val="20"/>
              </w:rPr>
              <w:t>Número</w:t>
            </w:r>
          </w:p>
        </w:tc>
        <w:tc>
          <w:tcPr>
            <w:tcW w:w="992" w:type="dxa"/>
            <w:vAlign w:val="center"/>
          </w:tcPr>
          <w:p w14:paraId="03BCEA03" w14:textId="5976D9A6" w:rsidR="006174B7" w:rsidRPr="006815E6" w:rsidRDefault="006174B7" w:rsidP="006174B7">
            <w:pPr>
              <w:spacing w:after="0" w:line="240" w:lineRule="auto"/>
              <w:jc w:val="center"/>
            </w:pPr>
            <w:r w:rsidRPr="00605FE1">
              <w:rPr>
                <w:sz w:val="20"/>
                <w:szCs w:val="20"/>
              </w:rPr>
              <w:t>3,082,893</w:t>
            </w:r>
          </w:p>
        </w:tc>
        <w:tc>
          <w:tcPr>
            <w:tcW w:w="1134" w:type="dxa"/>
            <w:vAlign w:val="center"/>
          </w:tcPr>
          <w:p w14:paraId="016A26B2" w14:textId="767D9DE0" w:rsidR="006174B7" w:rsidRPr="006815E6" w:rsidRDefault="006174B7" w:rsidP="006174B7">
            <w:pPr>
              <w:spacing w:after="0" w:line="240" w:lineRule="auto"/>
              <w:jc w:val="center"/>
            </w:pPr>
            <w:r w:rsidRPr="00605FE1">
              <w:rPr>
                <w:sz w:val="20"/>
                <w:szCs w:val="20"/>
              </w:rPr>
              <w:t>3,105,704</w:t>
            </w:r>
          </w:p>
        </w:tc>
        <w:tc>
          <w:tcPr>
            <w:tcW w:w="1134" w:type="dxa"/>
            <w:vAlign w:val="center"/>
          </w:tcPr>
          <w:p w14:paraId="605B3794" w14:textId="4C341C10" w:rsidR="006174B7" w:rsidRPr="006815E6" w:rsidRDefault="006174B7" w:rsidP="006174B7">
            <w:pPr>
              <w:spacing w:after="0" w:line="240" w:lineRule="auto"/>
              <w:jc w:val="center"/>
            </w:pPr>
            <w:r w:rsidRPr="00605FE1">
              <w:rPr>
                <w:sz w:val="20"/>
                <w:szCs w:val="20"/>
              </w:rPr>
              <w:t>3,127,923</w:t>
            </w:r>
          </w:p>
        </w:tc>
      </w:tr>
      <w:tr w:rsidR="006174B7" w:rsidRPr="006815E6" w14:paraId="717D2B5A" w14:textId="77777777" w:rsidTr="00AC6C96">
        <w:trPr>
          <w:trHeight w:val="340"/>
          <w:jc w:val="center"/>
        </w:trPr>
        <w:tc>
          <w:tcPr>
            <w:tcW w:w="1281" w:type="dxa"/>
            <w:vAlign w:val="center"/>
          </w:tcPr>
          <w:p w14:paraId="360084D4" w14:textId="77777777" w:rsidR="006174B7" w:rsidRPr="006815E6" w:rsidRDefault="006174B7" w:rsidP="006174B7">
            <w:pPr>
              <w:spacing w:after="0" w:line="240" w:lineRule="auto"/>
              <w:jc w:val="center"/>
            </w:pPr>
            <w:r w:rsidRPr="006815E6">
              <w:rPr>
                <w:sz w:val="20"/>
              </w:rPr>
              <w:t>Objetivo</w:t>
            </w:r>
          </w:p>
        </w:tc>
        <w:tc>
          <w:tcPr>
            <w:tcW w:w="1124" w:type="dxa"/>
            <w:vAlign w:val="center"/>
          </w:tcPr>
          <w:p w14:paraId="4CF48811" w14:textId="77777777" w:rsidR="006174B7" w:rsidRPr="006815E6" w:rsidRDefault="006174B7" w:rsidP="006174B7">
            <w:pPr>
              <w:spacing w:after="0" w:line="240" w:lineRule="auto"/>
              <w:jc w:val="center"/>
            </w:pPr>
            <w:r w:rsidRPr="006815E6">
              <w:rPr>
                <w:sz w:val="20"/>
              </w:rPr>
              <w:t>Número</w:t>
            </w:r>
          </w:p>
        </w:tc>
        <w:tc>
          <w:tcPr>
            <w:tcW w:w="992" w:type="dxa"/>
            <w:vAlign w:val="center"/>
          </w:tcPr>
          <w:p w14:paraId="5C14BFDA" w14:textId="64ED53D9" w:rsidR="006174B7" w:rsidRPr="006815E6" w:rsidRDefault="006174B7" w:rsidP="006174B7">
            <w:pPr>
              <w:spacing w:after="0" w:line="240" w:lineRule="auto"/>
              <w:jc w:val="center"/>
            </w:pPr>
            <w:r w:rsidRPr="00605FE1">
              <w:rPr>
                <w:sz w:val="20"/>
                <w:szCs w:val="20"/>
              </w:rPr>
              <w:t>1,725,388</w:t>
            </w:r>
          </w:p>
        </w:tc>
        <w:tc>
          <w:tcPr>
            <w:tcW w:w="1134" w:type="dxa"/>
            <w:vAlign w:val="center"/>
          </w:tcPr>
          <w:p w14:paraId="2310F992" w14:textId="18B44357" w:rsidR="006174B7" w:rsidRPr="006815E6" w:rsidRDefault="006174B7" w:rsidP="006174B7">
            <w:pPr>
              <w:spacing w:after="0" w:line="240" w:lineRule="auto"/>
              <w:jc w:val="center"/>
            </w:pPr>
            <w:r w:rsidRPr="00605FE1">
              <w:rPr>
                <w:sz w:val="20"/>
                <w:szCs w:val="20"/>
              </w:rPr>
              <w:t>1,725,388</w:t>
            </w:r>
          </w:p>
        </w:tc>
        <w:tc>
          <w:tcPr>
            <w:tcW w:w="1134" w:type="dxa"/>
            <w:vAlign w:val="center"/>
          </w:tcPr>
          <w:p w14:paraId="5D4314AD" w14:textId="3E5D30F5" w:rsidR="006174B7" w:rsidRPr="006815E6" w:rsidRDefault="006174B7" w:rsidP="006174B7">
            <w:pPr>
              <w:spacing w:after="0" w:line="240" w:lineRule="auto"/>
              <w:jc w:val="center"/>
            </w:pPr>
            <w:r w:rsidRPr="00605FE1">
              <w:rPr>
                <w:sz w:val="20"/>
                <w:szCs w:val="20"/>
              </w:rPr>
              <w:t>1,725,388</w:t>
            </w:r>
          </w:p>
        </w:tc>
      </w:tr>
      <w:tr w:rsidR="006174B7" w:rsidRPr="006815E6" w14:paraId="3050B93E" w14:textId="77777777" w:rsidTr="00AC6C96">
        <w:trPr>
          <w:trHeight w:val="340"/>
          <w:jc w:val="center"/>
        </w:trPr>
        <w:tc>
          <w:tcPr>
            <w:tcW w:w="1281" w:type="dxa"/>
            <w:vAlign w:val="center"/>
          </w:tcPr>
          <w:p w14:paraId="69F51B39" w14:textId="77777777" w:rsidR="006174B7" w:rsidRPr="006815E6" w:rsidRDefault="006174B7" w:rsidP="006174B7">
            <w:pPr>
              <w:spacing w:after="0" w:line="240" w:lineRule="auto"/>
              <w:jc w:val="center"/>
            </w:pPr>
            <w:r w:rsidRPr="006815E6">
              <w:rPr>
                <w:sz w:val="20"/>
              </w:rPr>
              <w:t>Atendid</w:t>
            </w:r>
            <w:r>
              <w:rPr>
                <w:sz w:val="20"/>
              </w:rPr>
              <w:t>a</w:t>
            </w:r>
          </w:p>
        </w:tc>
        <w:tc>
          <w:tcPr>
            <w:tcW w:w="1124" w:type="dxa"/>
            <w:vAlign w:val="center"/>
          </w:tcPr>
          <w:p w14:paraId="7B223989" w14:textId="77777777" w:rsidR="006174B7" w:rsidRPr="006815E6" w:rsidRDefault="006174B7" w:rsidP="006174B7">
            <w:pPr>
              <w:spacing w:after="0" w:line="240" w:lineRule="auto"/>
              <w:jc w:val="center"/>
            </w:pPr>
            <w:r w:rsidRPr="006815E6">
              <w:rPr>
                <w:sz w:val="20"/>
              </w:rPr>
              <w:t>Número</w:t>
            </w:r>
          </w:p>
        </w:tc>
        <w:tc>
          <w:tcPr>
            <w:tcW w:w="992" w:type="dxa"/>
            <w:vAlign w:val="center"/>
          </w:tcPr>
          <w:p w14:paraId="6B06492F" w14:textId="67AE183B" w:rsidR="006174B7" w:rsidRPr="006815E6" w:rsidRDefault="006174B7" w:rsidP="006174B7">
            <w:pPr>
              <w:spacing w:after="0" w:line="240" w:lineRule="auto"/>
              <w:jc w:val="center"/>
            </w:pPr>
            <w:r w:rsidRPr="00605FE1">
              <w:rPr>
                <w:sz w:val="20"/>
                <w:szCs w:val="20"/>
              </w:rPr>
              <w:t>1,337,955</w:t>
            </w:r>
          </w:p>
        </w:tc>
        <w:tc>
          <w:tcPr>
            <w:tcW w:w="1134" w:type="dxa"/>
            <w:vAlign w:val="center"/>
          </w:tcPr>
          <w:p w14:paraId="6B327932" w14:textId="0350E0F7" w:rsidR="006174B7" w:rsidRPr="006815E6" w:rsidRDefault="006174B7" w:rsidP="006174B7">
            <w:pPr>
              <w:spacing w:after="0" w:line="240" w:lineRule="auto"/>
              <w:jc w:val="center"/>
            </w:pPr>
            <w:r w:rsidRPr="00605FE1">
              <w:rPr>
                <w:sz w:val="20"/>
                <w:szCs w:val="20"/>
              </w:rPr>
              <w:t>726,651</w:t>
            </w:r>
          </w:p>
        </w:tc>
        <w:tc>
          <w:tcPr>
            <w:tcW w:w="1134" w:type="dxa"/>
            <w:vAlign w:val="center"/>
          </w:tcPr>
          <w:p w14:paraId="0A606D60" w14:textId="4DB257FB" w:rsidR="006174B7" w:rsidRPr="006815E6" w:rsidRDefault="006174B7" w:rsidP="006174B7">
            <w:pPr>
              <w:spacing w:after="0" w:line="240" w:lineRule="auto"/>
              <w:jc w:val="center"/>
            </w:pPr>
            <w:r w:rsidRPr="00605FE1">
              <w:rPr>
                <w:sz w:val="20"/>
                <w:szCs w:val="20"/>
              </w:rPr>
              <w:t>1,449,696</w:t>
            </w:r>
          </w:p>
        </w:tc>
      </w:tr>
      <w:tr w:rsidR="006174B7" w14:paraId="3AA25C93" w14:textId="77777777" w:rsidTr="00AC6C96">
        <w:trPr>
          <w:trHeight w:val="513"/>
          <w:jc w:val="center"/>
        </w:trPr>
        <w:tc>
          <w:tcPr>
            <w:tcW w:w="1281" w:type="dxa"/>
            <w:vAlign w:val="center"/>
          </w:tcPr>
          <w:p w14:paraId="23DF504C" w14:textId="77777777" w:rsidR="006174B7" w:rsidRPr="006815E6" w:rsidRDefault="006174B7" w:rsidP="006174B7">
            <w:pPr>
              <w:spacing w:after="0" w:line="240" w:lineRule="auto"/>
              <w:jc w:val="center"/>
            </w:pPr>
            <w:r w:rsidRPr="006815E6">
              <w:rPr>
                <w:noProof/>
                <w:sz w:val="20"/>
                <w:lang w:eastAsia="es-MX"/>
              </w:rPr>
              <w:drawing>
                <wp:anchor distT="0" distB="0" distL="114300" distR="114300" simplePos="0" relativeHeight="251661312" behindDoc="0" locked="0" layoutInCell="1" allowOverlap="1" wp14:anchorId="01C63F62" wp14:editId="29D9E761">
                  <wp:simplePos x="0" y="0"/>
                  <wp:positionH relativeFrom="column">
                    <wp:posOffset>88900</wp:posOffset>
                  </wp:positionH>
                  <wp:positionV relativeFrom="paragraph">
                    <wp:posOffset>-22225</wp:posOffset>
                  </wp:positionV>
                  <wp:extent cx="552450" cy="257175"/>
                  <wp:effectExtent l="0" t="0" r="0" b="9525"/>
                  <wp:wrapNone/>
                  <wp:docPr id="3" name="Imagen 3">
                    <a:extLst xmlns:a="http://schemas.openxmlformats.org/drawingml/2006/main">
                      <a:ext uri="{FF2B5EF4-FFF2-40B4-BE49-F238E27FC236}">
                        <a16:creationId xmlns:a16="http://schemas.microsoft.com/office/drawing/2014/main" id="{5AA72E4A-E016-4CB8-9B70-E6D6E0620783}"/>
                      </a:ext>
                    </a:extLst>
                  </wp:docPr>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5AA72E4A-E016-4CB8-9B70-E6D6E0620783}"/>
                              </a:ext>
                            </a:extLst>
                          </pic:cNvPr>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52450" cy="257175"/>
                          </a:xfrm>
                          <a:prstGeom prst="rect">
                            <a:avLst/>
                          </a:prstGeom>
                          <a:noFill/>
                        </pic:spPr>
                      </pic:pic>
                    </a:graphicData>
                  </a:graphic>
                  <wp14:sizeRelH relativeFrom="page">
                    <wp14:pctWidth>0</wp14:pctWidth>
                  </wp14:sizeRelH>
                  <wp14:sizeRelV relativeFrom="page">
                    <wp14:pctHeight>0</wp14:pctHeight>
                  </wp14:sizeRelV>
                </wp:anchor>
              </w:drawing>
            </w:r>
          </w:p>
        </w:tc>
        <w:tc>
          <w:tcPr>
            <w:tcW w:w="1124" w:type="dxa"/>
            <w:vAlign w:val="center"/>
          </w:tcPr>
          <w:p w14:paraId="4918461B" w14:textId="77777777" w:rsidR="006174B7" w:rsidRPr="006815E6" w:rsidRDefault="006174B7" w:rsidP="006174B7">
            <w:pPr>
              <w:spacing w:after="0" w:line="240" w:lineRule="auto"/>
              <w:jc w:val="center"/>
            </w:pPr>
            <w:r w:rsidRPr="006815E6">
              <w:rPr>
                <w:sz w:val="20"/>
              </w:rPr>
              <w:t>Porcentaje</w:t>
            </w:r>
          </w:p>
        </w:tc>
        <w:tc>
          <w:tcPr>
            <w:tcW w:w="992" w:type="dxa"/>
            <w:vAlign w:val="center"/>
          </w:tcPr>
          <w:p w14:paraId="43465320" w14:textId="0C45F943" w:rsidR="006174B7" w:rsidRPr="006815E6" w:rsidRDefault="006174B7" w:rsidP="006174B7">
            <w:pPr>
              <w:spacing w:after="0" w:line="240" w:lineRule="auto"/>
              <w:jc w:val="center"/>
            </w:pPr>
            <w:r w:rsidRPr="00605FE1">
              <w:rPr>
                <w:sz w:val="20"/>
                <w:szCs w:val="20"/>
              </w:rPr>
              <w:t>77.5%</w:t>
            </w:r>
          </w:p>
        </w:tc>
        <w:tc>
          <w:tcPr>
            <w:tcW w:w="1134" w:type="dxa"/>
            <w:vAlign w:val="center"/>
          </w:tcPr>
          <w:p w14:paraId="7BEFB9E1" w14:textId="67BD9104" w:rsidR="006174B7" w:rsidRPr="006815E6" w:rsidRDefault="006174B7" w:rsidP="006174B7">
            <w:pPr>
              <w:spacing w:after="0" w:line="240" w:lineRule="auto"/>
              <w:jc w:val="center"/>
            </w:pPr>
            <w:r w:rsidRPr="00605FE1">
              <w:rPr>
                <w:sz w:val="20"/>
                <w:szCs w:val="20"/>
              </w:rPr>
              <w:t>42.1%</w:t>
            </w:r>
          </w:p>
        </w:tc>
        <w:tc>
          <w:tcPr>
            <w:tcW w:w="1134" w:type="dxa"/>
            <w:vAlign w:val="center"/>
          </w:tcPr>
          <w:p w14:paraId="36BAE2FA" w14:textId="06609E5E" w:rsidR="006174B7" w:rsidRDefault="006174B7" w:rsidP="006174B7">
            <w:pPr>
              <w:spacing w:after="0" w:line="240" w:lineRule="auto"/>
              <w:jc w:val="center"/>
            </w:pPr>
            <w:r w:rsidRPr="00605FE1">
              <w:rPr>
                <w:sz w:val="20"/>
                <w:szCs w:val="20"/>
              </w:rPr>
              <w:t>84.0%</w:t>
            </w:r>
          </w:p>
        </w:tc>
      </w:tr>
    </w:tbl>
    <w:p w14:paraId="4B4BDD2D" w14:textId="47110EE7" w:rsidR="00BF043E" w:rsidRDefault="00BF043E" w:rsidP="00BF043E">
      <w:pPr>
        <w:spacing w:line="276" w:lineRule="auto"/>
        <w:ind w:left="568"/>
        <w:jc w:val="both"/>
      </w:pPr>
    </w:p>
    <w:p w14:paraId="4149C632" w14:textId="77777777" w:rsidR="006174B7" w:rsidRDefault="006174B7" w:rsidP="006174B7">
      <w:pPr>
        <w:jc w:val="both"/>
      </w:pPr>
      <w:r>
        <w:t>por medio del SINAVE se capta, se registra y se analizan los datos de morbilidad, mortalidad, y daños y riesgos en la salud, en este caso específicamente para dengue, a través del SUAVE, apoyado a su vez en: La Notificación Semanal de Casos Nuevos de Enfermedades y los Sistemas Especiales de Vigilancia Epidemiológica.</w:t>
      </w:r>
    </w:p>
    <w:p w14:paraId="4645428E" w14:textId="77777777" w:rsidR="006174B7" w:rsidRPr="006815E6" w:rsidRDefault="003175B8" w:rsidP="006174B7">
      <w:pPr>
        <w:pStyle w:val="Prrafodelista"/>
        <w:numPr>
          <w:ilvl w:val="0"/>
          <w:numId w:val="21"/>
        </w:numPr>
        <w:spacing w:after="200" w:line="360" w:lineRule="auto"/>
        <w:jc w:val="both"/>
      </w:pPr>
      <w:hyperlink r:id="rId13" w:history="1">
        <w:r w:rsidR="006174B7" w:rsidRPr="00B056BB">
          <w:rPr>
            <w:rStyle w:val="Hipervnculo"/>
          </w:rPr>
          <w:t>https://www.sinave.gob.mx</w:t>
        </w:r>
      </w:hyperlink>
      <w:r w:rsidR="006174B7">
        <w:t xml:space="preserve"> (Está página es para uso exclusivo de la Comunidad SINAVE del Sector Salud)</w:t>
      </w:r>
    </w:p>
    <w:p w14:paraId="6A172BFB" w14:textId="77777777" w:rsidR="006174B7" w:rsidRDefault="003175B8" w:rsidP="006174B7">
      <w:pPr>
        <w:pStyle w:val="Prrafodelista"/>
        <w:numPr>
          <w:ilvl w:val="0"/>
          <w:numId w:val="21"/>
        </w:numPr>
        <w:spacing w:after="200" w:line="360" w:lineRule="auto"/>
        <w:jc w:val="both"/>
      </w:pPr>
      <w:hyperlink r:id="rId14" w:history="1">
        <w:r w:rsidR="006174B7" w:rsidRPr="00B056BB">
          <w:rPr>
            <w:rStyle w:val="Hipervnculo"/>
          </w:rPr>
          <w:t>https://vectores.sinave.gob.mx</w:t>
        </w:r>
      </w:hyperlink>
      <w:r w:rsidR="006174B7">
        <w:t xml:space="preserve"> (Está página es para uso exclusivo de la Comunidad SINAVE del Sector Salud)</w:t>
      </w:r>
    </w:p>
    <w:p w14:paraId="11507ACD" w14:textId="7BD1376B" w:rsidR="006174B7" w:rsidRPr="006815E6" w:rsidRDefault="003175B8" w:rsidP="006174B7">
      <w:pPr>
        <w:pStyle w:val="Prrafodelista"/>
        <w:numPr>
          <w:ilvl w:val="0"/>
          <w:numId w:val="21"/>
        </w:numPr>
        <w:spacing w:after="200" w:line="360" w:lineRule="auto"/>
        <w:jc w:val="both"/>
      </w:pPr>
      <w:hyperlink r:id="rId15" w:history="1">
        <w:r w:rsidR="006174B7" w:rsidRPr="00B056BB">
          <w:rPr>
            <w:rStyle w:val="Hipervnculo"/>
          </w:rPr>
          <w:t>https://www.gob.mx/salud/acciones-y-programas/direccion-general-de-epidemiologia-boletin-epidemiologico</w:t>
        </w:r>
      </w:hyperlink>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0DB64C27" w14:textId="56B262EB" w:rsidR="006174B7" w:rsidRDefault="006174B7" w:rsidP="00975299">
      <w:pPr>
        <w:pStyle w:val="Prrafodelista"/>
        <w:numPr>
          <w:ilvl w:val="2"/>
          <w:numId w:val="5"/>
        </w:numPr>
        <w:spacing w:after="0" w:line="276" w:lineRule="auto"/>
        <w:ind w:left="993" w:hanging="567"/>
        <w:jc w:val="both"/>
        <w:rPr>
          <w:b/>
          <w:bCs/>
        </w:rPr>
      </w:pPr>
      <w:r>
        <w:rPr>
          <w:b/>
          <w:bCs/>
        </w:rPr>
        <w:t>Fortalezas</w:t>
      </w:r>
    </w:p>
    <w:p w14:paraId="5E0C32ED" w14:textId="133C051E" w:rsidR="006174B7" w:rsidRPr="006174B7" w:rsidRDefault="006174B7" w:rsidP="006174B7">
      <w:pPr>
        <w:pStyle w:val="Prrafodelista"/>
        <w:numPr>
          <w:ilvl w:val="0"/>
          <w:numId w:val="8"/>
        </w:numPr>
        <w:spacing w:after="0" w:line="276" w:lineRule="auto"/>
        <w:jc w:val="both"/>
      </w:pPr>
      <w:r w:rsidRPr="006174B7">
        <w:t>Se tiene identificado el problema que busca resolver, mismo que se encuentra identificado en el árbol de problema del programa y en el PED Sinaloa 2017 - 2021.</w:t>
      </w:r>
    </w:p>
    <w:p w14:paraId="150A9C9F" w14:textId="42E4EF10" w:rsidR="006174B7" w:rsidRPr="006174B7" w:rsidRDefault="006174B7" w:rsidP="006174B7">
      <w:pPr>
        <w:pStyle w:val="Prrafodelista"/>
        <w:numPr>
          <w:ilvl w:val="0"/>
          <w:numId w:val="8"/>
        </w:numPr>
        <w:spacing w:after="0" w:line="276" w:lineRule="auto"/>
        <w:jc w:val="both"/>
      </w:pPr>
      <w:r w:rsidRPr="006174B7">
        <w:t>Está vinculado a los objetivos y estrategias del PSS 2017 – 2021 y del PED Sinaloa 2017 – 2021.</w:t>
      </w:r>
    </w:p>
    <w:p w14:paraId="5327302A" w14:textId="29083BE4" w:rsidR="006174B7" w:rsidRPr="006174B7" w:rsidRDefault="006174B7" w:rsidP="006174B7">
      <w:pPr>
        <w:pStyle w:val="Prrafodelista"/>
        <w:numPr>
          <w:ilvl w:val="0"/>
          <w:numId w:val="8"/>
        </w:numPr>
        <w:spacing w:after="0" w:line="276" w:lineRule="auto"/>
        <w:jc w:val="both"/>
      </w:pPr>
      <w:r w:rsidRPr="006174B7">
        <w:t>Se cuenta con la MIR y sus fichas técnicas donde las metas de los indicadores están orientadas a impulsar el desempeño del programa.</w:t>
      </w:r>
    </w:p>
    <w:p w14:paraId="216FA223" w14:textId="40E1ACA4" w:rsidR="006174B7" w:rsidRPr="006174B7" w:rsidRDefault="006174B7" w:rsidP="006174B7">
      <w:pPr>
        <w:pStyle w:val="Prrafodelista"/>
        <w:numPr>
          <w:ilvl w:val="0"/>
          <w:numId w:val="8"/>
        </w:numPr>
        <w:spacing w:after="0" w:line="276" w:lineRule="auto"/>
        <w:jc w:val="both"/>
      </w:pPr>
      <w:r w:rsidRPr="006174B7">
        <w:t>Se encuentra alineado conforme a la Ley de Salud del Estado de Sinaloa.</w:t>
      </w:r>
    </w:p>
    <w:p w14:paraId="26070B7B" w14:textId="31EC963C" w:rsidR="006174B7" w:rsidRPr="006174B7" w:rsidRDefault="006174B7" w:rsidP="006174B7">
      <w:pPr>
        <w:pStyle w:val="Prrafodelista"/>
        <w:numPr>
          <w:ilvl w:val="0"/>
          <w:numId w:val="8"/>
        </w:numPr>
        <w:spacing w:after="0" w:line="276" w:lineRule="auto"/>
        <w:jc w:val="both"/>
      </w:pPr>
      <w:r w:rsidRPr="006174B7">
        <w:t>Existen elementos metodológicos y de planeación que permiten diseñar, monitorear, dar seguimiento, evaluar y rendir cuentas del programa.</w:t>
      </w:r>
    </w:p>
    <w:p w14:paraId="7750305E" w14:textId="225B23C1" w:rsidR="006174B7" w:rsidRPr="006174B7" w:rsidRDefault="006174B7" w:rsidP="006174B7">
      <w:pPr>
        <w:pStyle w:val="Prrafodelista"/>
        <w:numPr>
          <w:ilvl w:val="0"/>
          <w:numId w:val="8"/>
        </w:numPr>
        <w:spacing w:after="0" w:line="276" w:lineRule="auto"/>
        <w:jc w:val="both"/>
      </w:pPr>
      <w:r w:rsidRPr="006174B7">
        <w:t>Se encuentra acorde con lineamientos de planeación estatal y federal.</w:t>
      </w:r>
    </w:p>
    <w:p w14:paraId="5A5C7950" w14:textId="08427BE0" w:rsidR="006174B7" w:rsidRPr="006174B7" w:rsidRDefault="006174B7" w:rsidP="006174B7">
      <w:pPr>
        <w:pStyle w:val="Prrafodelista"/>
        <w:numPr>
          <w:ilvl w:val="0"/>
          <w:numId w:val="8"/>
        </w:numPr>
        <w:spacing w:after="0" w:line="276" w:lineRule="auto"/>
        <w:jc w:val="both"/>
      </w:pPr>
      <w:r w:rsidRPr="006174B7">
        <w:t>Se difunde información relevante sobre el programa en el sitio web de los SSS.</w:t>
      </w:r>
    </w:p>
    <w:p w14:paraId="28A6D2F2" w14:textId="3108DB11" w:rsidR="006174B7" w:rsidRPr="006174B7" w:rsidRDefault="006174B7" w:rsidP="006174B7">
      <w:pPr>
        <w:pStyle w:val="Prrafodelista"/>
        <w:numPr>
          <w:ilvl w:val="0"/>
          <w:numId w:val="8"/>
        </w:numPr>
        <w:spacing w:after="0" w:line="276" w:lineRule="auto"/>
        <w:jc w:val="both"/>
      </w:pPr>
      <w:r w:rsidRPr="006174B7">
        <w:t>Se ha incrementado la difusión de la campaña de control del Dengue para llegar al mayor número de personas y lograr su participación.</w:t>
      </w:r>
    </w:p>
    <w:p w14:paraId="22F7626F" w14:textId="0AD201BF" w:rsidR="006174B7" w:rsidRPr="006174B7" w:rsidRDefault="006174B7" w:rsidP="006174B7">
      <w:pPr>
        <w:pStyle w:val="Prrafodelista"/>
        <w:numPr>
          <w:ilvl w:val="0"/>
          <w:numId w:val="8"/>
        </w:numPr>
        <w:spacing w:after="0" w:line="276" w:lineRule="auto"/>
        <w:jc w:val="both"/>
      </w:pPr>
      <w:r w:rsidRPr="006174B7">
        <w:t>Se brinda capacitación continua al personal médico en el diagnóstico y tratamiento a casos probables de dengue.</w:t>
      </w:r>
    </w:p>
    <w:p w14:paraId="0A26222D" w14:textId="5929BCBC" w:rsidR="006174B7" w:rsidRPr="006174B7" w:rsidRDefault="006174B7" w:rsidP="006174B7">
      <w:pPr>
        <w:pStyle w:val="Prrafodelista"/>
        <w:numPr>
          <w:ilvl w:val="0"/>
          <w:numId w:val="8"/>
        </w:numPr>
        <w:spacing w:after="0" w:line="276" w:lineRule="auto"/>
        <w:jc w:val="both"/>
      </w:pPr>
      <w:r w:rsidRPr="006174B7">
        <w:t>Se cuenta con información sobre la población objetivo, que cubre el programa.</w:t>
      </w:r>
    </w:p>
    <w:p w14:paraId="73F9CBF8" w14:textId="75FD2BD4" w:rsidR="006174B7" w:rsidRPr="006174B7" w:rsidRDefault="006174B7" w:rsidP="006174B7">
      <w:pPr>
        <w:pStyle w:val="Prrafodelista"/>
        <w:numPr>
          <w:ilvl w:val="0"/>
          <w:numId w:val="8"/>
        </w:numPr>
        <w:spacing w:after="0" w:line="276" w:lineRule="auto"/>
        <w:jc w:val="both"/>
      </w:pPr>
      <w:r w:rsidRPr="006174B7">
        <w:t>Se alcanzó un 84.0% de cobertura en el ejercicio fiscal 2021.</w:t>
      </w:r>
    </w:p>
    <w:p w14:paraId="5112EF11" w14:textId="46D3BB43" w:rsidR="006174B7" w:rsidRPr="006174B7" w:rsidRDefault="006174B7" w:rsidP="006174B7">
      <w:pPr>
        <w:pStyle w:val="Prrafodelista"/>
        <w:numPr>
          <w:ilvl w:val="0"/>
          <w:numId w:val="8"/>
        </w:numPr>
        <w:spacing w:after="0" w:line="276" w:lineRule="auto"/>
        <w:jc w:val="both"/>
      </w:pPr>
      <w:r w:rsidRPr="006174B7">
        <w:t>Se puede localizar en la página web de los SSS la información de los principales resultados del programa.</w:t>
      </w:r>
    </w:p>
    <w:p w14:paraId="5E6A3052" w14:textId="116B9119" w:rsidR="006174B7" w:rsidRPr="006174B7" w:rsidRDefault="006174B7" w:rsidP="006174B7">
      <w:pPr>
        <w:pStyle w:val="Prrafodelista"/>
        <w:numPr>
          <w:ilvl w:val="0"/>
          <w:numId w:val="8"/>
        </w:numPr>
        <w:spacing w:after="0" w:line="276" w:lineRule="auto"/>
        <w:jc w:val="both"/>
      </w:pPr>
      <w:r w:rsidRPr="006174B7">
        <w:lastRenderedPageBreak/>
        <w:t>Se cuenta con guías metodológicas y operativas de trabajo para diferentes acciones, asimismo, se registran las observaciones que se lleguen a tener sobre dichos documentos para tomarlo en cuenta en futuras actualizaciones.</w:t>
      </w:r>
    </w:p>
    <w:p w14:paraId="2ACCAF21" w14:textId="0746A9DD" w:rsidR="006174B7" w:rsidRPr="006174B7" w:rsidRDefault="006174B7" w:rsidP="006174B7">
      <w:pPr>
        <w:pStyle w:val="Prrafodelista"/>
        <w:numPr>
          <w:ilvl w:val="0"/>
          <w:numId w:val="8"/>
        </w:numPr>
        <w:spacing w:after="0" w:line="276" w:lineRule="auto"/>
        <w:jc w:val="both"/>
      </w:pPr>
      <w:r w:rsidRPr="006174B7">
        <w:t>Se encuentran definidas las áreas donde se genera el mayor número de casos de dengue.</w:t>
      </w:r>
    </w:p>
    <w:p w14:paraId="096749B4" w14:textId="46ABD350" w:rsidR="006174B7" w:rsidRPr="006174B7" w:rsidRDefault="006174B7" w:rsidP="006174B7">
      <w:pPr>
        <w:pStyle w:val="Prrafodelista"/>
        <w:numPr>
          <w:ilvl w:val="0"/>
          <w:numId w:val="8"/>
        </w:numPr>
        <w:spacing w:after="0" w:line="276" w:lineRule="auto"/>
        <w:jc w:val="both"/>
      </w:pPr>
      <w:r w:rsidRPr="006174B7">
        <w:t>Se cuenta con el personal capacitado en las 6 jurisdicciones sanitarias en las que se encuentran las localidades prioritarias.</w:t>
      </w:r>
    </w:p>
    <w:p w14:paraId="5A832128" w14:textId="66E2CFEF" w:rsidR="006174B7" w:rsidRPr="006174B7" w:rsidRDefault="006174B7" w:rsidP="006174B7">
      <w:pPr>
        <w:pStyle w:val="Prrafodelista"/>
        <w:numPr>
          <w:ilvl w:val="0"/>
          <w:numId w:val="8"/>
        </w:numPr>
        <w:spacing w:after="0" w:line="276" w:lineRule="auto"/>
        <w:jc w:val="both"/>
      </w:pPr>
      <w:r w:rsidRPr="006174B7">
        <w:t>Se cuenta con la designación de presupuesto programado año con año.</w:t>
      </w:r>
    </w:p>
    <w:p w14:paraId="3DF35C90" w14:textId="19E6E4C9" w:rsidR="006174B7" w:rsidRPr="006174B7" w:rsidRDefault="006174B7" w:rsidP="006174B7">
      <w:pPr>
        <w:pStyle w:val="Prrafodelista"/>
        <w:numPr>
          <w:ilvl w:val="0"/>
          <w:numId w:val="8"/>
        </w:numPr>
        <w:spacing w:after="0" w:line="276" w:lineRule="auto"/>
        <w:jc w:val="both"/>
      </w:pPr>
      <w:r w:rsidRPr="006174B7">
        <w:t>Se utilizan elementos metodológicos y normas que apoyan la información.</w:t>
      </w:r>
    </w:p>
    <w:p w14:paraId="3C32C7DF" w14:textId="5D68D614" w:rsidR="006174B7" w:rsidRPr="006174B7" w:rsidRDefault="006174B7" w:rsidP="006174B7">
      <w:pPr>
        <w:pStyle w:val="Prrafodelista"/>
        <w:numPr>
          <w:ilvl w:val="0"/>
          <w:numId w:val="8"/>
        </w:numPr>
        <w:spacing w:after="0" w:line="276" w:lineRule="auto"/>
        <w:jc w:val="both"/>
      </w:pPr>
      <w:r w:rsidRPr="006174B7">
        <w:t>Los procesos clave en la operación del programa coinciden con las actividades y metas de la MIR.</w:t>
      </w:r>
    </w:p>
    <w:p w14:paraId="032A7B66" w14:textId="5A380BD4" w:rsidR="006174B7" w:rsidRPr="006174B7" w:rsidRDefault="006174B7" w:rsidP="006174B7">
      <w:pPr>
        <w:pStyle w:val="Prrafodelista"/>
        <w:numPr>
          <w:ilvl w:val="0"/>
          <w:numId w:val="8"/>
        </w:numPr>
        <w:spacing w:after="0" w:line="276" w:lineRule="auto"/>
        <w:jc w:val="both"/>
      </w:pPr>
      <w:r w:rsidRPr="006174B7">
        <w:t>Se mantiene en constante actualización la MIR (anualmente).</w:t>
      </w:r>
    </w:p>
    <w:p w14:paraId="0FCCB32D" w14:textId="42EAD28E" w:rsidR="006174B7" w:rsidRPr="006174B7" w:rsidRDefault="006174B7" w:rsidP="006174B7">
      <w:pPr>
        <w:pStyle w:val="Prrafodelista"/>
        <w:numPr>
          <w:ilvl w:val="0"/>
          <w:numId w:val="8"/>
        </w:numPr>
        <w:spacing w:after="0" w:line="276" w:lineRule="auto"/>
        <w:jc w:val="both"/>
      </w:pPr>
      <w:r w:rsidRPr="006174B7">
        <w:t>Contar con el personal capacitado para operar el programa</w:t>
      </w:r>
    </w:p>
    <w:p w14:paraId="3B0284E4" w14:textId="5306E0ED" w:rsidR="006174B7" w:rsidRPr="006174B7" w:rsidRDefault="006174B7" w:rsidP="006174B7">
      <w:pPr>
        <w:pStyle w:val="Prrafodelista"/>
        <w:numPr>
          <w:ilvl w:val="0"/>
          <w:numId w:val="8"/>
        </w:numPr>
        <w:spacing w:after="0" w:line="276" w:lineRule="auto"/>
        <w:jc w:val="both"/>
      </w:pPr>
      <w:r w:rsidRPr="006174B7">
        <w:t>Contar con los recursos financieros para la operación del programa</w:t>
      </w:r>
    </w:p>
    <w:p w14:paraId="6AB0EA81" w14:textId="6C3AE55E" w:rsidR="006174B7" w:rsidRPr="006174B7" w:rsidRDefault="006174B7" w:rsidP="006174B7">
      <w:pPr>
        <w:pStyle w:val="Prrafodelista"/>
        <w:numPr>
          <w:ilvl w:val="0"/>
          <w:numId w:val="8"/>
        </w:numPr>
        <w:spacing w:after="0" w:line="276" w:lineRule="auto"/>
        <w:jc w:val="both"/>
      </w:pPr>
      <w:r w:rsidRPr="006174B7">
        <w:t>Contar con los vehículos para la operación del programa.</w:t>
      </w:r>
    </w:p>
    <w:p w14:paraId="1489B088" w14:textId="30538624" w:rsidR="006174B7" w:rsidRPr="006174B7" w:rsidRDefault="006174B7" w:rsidP="006174B7">
      <w:pPr>
        <w:pStyle w:val="Prrafodelista"/>
        <w:numPr>
          <w:ilvl w:val="0"/>
          <w:numId w:val="8"/>
        </w:numPr>
        <w:spacing w:after="0" w:line="276" w:lineRule="auto"/>
        <w:jc w:val="both"/>
      </w:pPr>
      <w:r w:rsidRPr="006174B7">
        <w:t>Los resultados de Fin y Propósito se encuentran vertidos en la MIR.</w:t>
      </w:r>
    </w:p>
    <w:p w14:paraId="3A39C1FA" w14:textId="77A4F0C9" w:rsidR="003E1018" w:rsidRPr="00975299" w:rsidRDefault="003E1018" w:rsidP="00975299">
      <w:pPr>
        <w:pStyle w:val="Prrafodelista"/>
        <w:numPr>
          <w:ilvl w:val="2"/>
          <w:numId w:val="5"/>
        </w:numPr>
        <w:spacing w:after="0" w:line="276" w:lineRule="auto"/>
        <w:ind w:left="993" w:hanging="567"/>
        <w:jc w:val="both"/>
        <w:rPr>
          <w:b/>
          <w:bCs/>
        </w:rPr>
      </w:pPr>
      <w:r w:rsidRPr="00975299">
        <w:rPr>
          <w:b/>
          <w:bCs/>
        </w:rPr>
        <w:t xml:space="preserve">Oportunidades: </w:t>
      </w:r>
    </w:p>
    <w:p w14:paraId="30D6CC6D" w14:textId="77777777" w:rsidR="006174B7" w:rsidRDefault="006174B7" w:rsidP="006174B7">
      <w:pPr>
        <w:pStyle w:val="Prrafodelista"/>
        <w:numPr>
          <w:ilvl w:val="0"/>
          <w:numId w:val="8"/>
        </w:numPr>
        <w:spacing w:after="0" w:line="276" w:lineRule="auto"/>
        <w:jc w:val="both"/>
      </w:pPr>
      <w:r>
        <w:t>Está vinculado a los objetivos y estrategias del PSS 2020 – 2024 y del PND 2019 – 2024.</w:t>
      </w:r>
    </w:p>
    <w:p w14:paraId="3B6D3303" w14:textId="77777777" w:rsidR="006174B7" w:rsidRDefault="006174B7" w:rsidP="006174B7">
      <w:pPr>
        <w:pStyle w:val="Prrafodelista"/>
        <w:numPr>
          <w:ilvl w:val="0"/>
          <w:numId w:val="8"/>
        </w:numPr>
        <w:spacing w:after="0" w:line="276" w:lineRule="auto"/>
        <w:jc w:val="both"/>
      </w:pPr>
      <w:r>
        <w:t>Se cuenta con la NOM-017-SSA2-2012, para la vigilancia epidemiológica; la NOM-032-SSA2-2014, para la vigilancia epidemiológica, promoción, prevención y control de las enfermedades transmitidas por vectores y la NOM-232-SSA1-2009, Plaguicidas; donde se establecen los criterios, especificaciones, directrices y procedimientos, así como requisitos, indicaciones y características que se deben cumplir.</w:t>
      </w:r>
    </w:p>
    <w:p w14:paraId="674AC384" w14:textId="77777777" w:rsidR="006174B7" w:rsidRDefault="006174B7" w:rsidP="006174B7">
      <w:pPr>
        <w:pStyle w:val="Prrafodelista"/>
        <w:numPr>
          <w:ilvl w:val="0"/>
          <w:numId w:val="8"/>
        </w:numPr>
        <w:spacing w:after="0" w:line="276" w:lineRule="auto"/>
        <w:jc w:val="both"/>
      </w:pPr>
      <w:r>
        <w:t xml:space="preserve">Se encuentra alineado conforme a la Ley General de Salud </w:t>
      </w:r>
    </w:p>
    <w:p w14:paraId="3A3B9F75" w14:textId="77777777" w:rsidR="006174B7" w:rsidRDefault="006174B7" w:rsidP="006174B7">
      <w:pPr>
        <w:pStyle w:val="Prrafodelista"/>
        <w:numPr>
          <w:ilvl w:val="0"/>
          <w:numId w:val="8"/>
        </w:numPr>
        <w:spacing w:after="0" w:line="276" w:lineRule="auto"/>
        <w:jc w:val="both"/>
      </w:pPr>
      <w:r>
        <w:t>Está vinculado con los Objetivos del Desarrollo Sostenible.</w:t>
      </w:r>
    </w:p>
    <w:p w14:paraId="1C6112B0" w14:textId="77777777" w:rsidR="006174B7" w:rsidRDefault="006174B7" w:rsidP="006174B7">
      <w:pPr>
        <w:pStyle w:val="Prrafodelista"/>
        <w:numPr>
          <w:ilvl w:val="0"/>
          <w:numId w:val="8"/>
        </w:numPr>
        <w:spacing w:after="0" w:line="276" w:lineRule="auto"/>
        <w:jc w:val="both"/>
      </w:pPr>
      <w:r>
        <w:t>Presenta complementariedad con un programa federal.</w:t>
      </w:r>
    </w:p>
    <w:p w14:paraId="28D7D832" w14:textId="77777777" w:rsidR="006174B7" w:rsidRDefault="006174B7" w:rsidP="006174B7">
      <w:pPr>
        <w:pStyle w:val="Prrafodelista"/>
        <w:numPr>
          <w:ilvl w:val="0"/>
          <w:numId w:val="8"/>
        </w:numPr>
        <w:spacing w:after="0" w:line="276" w:lineRule="auto"/>
        <w:jc w:val="both"/>
      </w:pPr>
      <w:r>
        <w:t>Se cuenta con un plan estratégico que contempla los resultados que se quieren alcanzar, y los indicadores para medir el avance en el logro de sus resultados.</w:t>
      </w:r>
    </w:p>
    <w:p w14:paraId="7B8DB3D4" w14:textId="77777777" w:rsidR="006174B7" w:rsidRDefault="006174B7" w:rsidP="006174B7">
      <w:pPr>
        <w:pStyle w:val="Prrafodelista"/>
        <w:numPr>
          <w:ilvl w:val="0"/>
          <w:numId w:val="8"/>
        </w:numPr>
        <w:spacing w:after="0" w:line="276" w:lineRule="auto"/>
        <w:jc w:val="both"/>
      </w:pPr>
      <w:r>
        <w:t>Utiliza sistemas de captura y análisis de la información.</w:t>
      </w:r>
    </w:p>
    <w:p w14:paraId="0638B8AA" w14:textId="77777777" w:rsidR="006174B7" w:rsidRDefault="006174B7" w:rsidP="006174B7">
      <w:pPr>
        <w:pStyle w:val="Prrafodelista"/>
        <w:numPr>
          <w:ilvl w:val="0"/>
          <w:numId w:val="8"/>
        </w:numPr>
        <w:spacing w:after="0" w:line="276" w:lineRule="auto"/>
        <w:jc w:val="both"/>
      </w:pPr>
      <w:r>
        <w:t>Entablar un acercamiento con el sector educativo para iniciar con la capacitación desde las escuelas.</w:t>
      </w:r>
    </w:p>
    <w:p w14:paraId="2F36071F" w14:textId="77777777" w:rsidR="006174B7" w:rsidRDefault="006174B7" w:rsidP="006174B7">
      <w:pPr>
        <w:pStyle w:val="Prrafodelista"/>
        <w:numPr>
          <w:ilvl w:val="0"/>
          <w:numId w:val="8"/>
        </w:numPr>
        <w:spacing w:after="0" w:line="276" w:lineRule="auto"/>
        <w:jc w:val="both"/>
      </w:pPr>
      <w:r>
        <w:t>Este programa forma parte de un programa nacional.</w:t>
      </w:r>
    </w:p>
    <w:p w14:paraId="46BC078E" w14:textId="77777777" w:rsidR="006174B7" w:rsidRDefault="006174B7" w:rsidP="006174B7">
      <w:pPr>
        <w:pStyle w:val="Prrafodelista"/>
        <w:numPr>
          <w:ilvl w:val="0"/>
          <w:numId w:val="8"/>
        </w:numPr>
        <w:spacing w:after="0" w:line="276" w:lineRule="auto"/>
        <w:jc w:val="both"/>
      </w:pPr>
      <w:r>
        <w:t>Se cuenta con plataformas de información, en las cuales se identifican los casos probables de dengue en tiempo real.</w:t>
      </w:r>
    </w:p>
    <w:p w14:paraId="367A9D84" w14:textId="77777777" w:rsidR="006174B7" w:rsidRDefault="006174B7" w:rsidP="006174B7">
      <w:pPr>
        <w:pStyle w:val="Prrafodelista"/>
        <w:numPr>
          <w:ilvl w:val="0"/>
          <w:numId w:val="8"/>
        </w:numPr>
        <w:spacing w:after="0" w:line="276" w:lineRule="auto"/>
        <w:jc w:val="both"/>
      </w:pPr>
      <w:r>
        <w:t>Enfatizar en un número telefónico por parte de la persona con sintomatología de dengue para el oportuno tratamiento con acciones integrales de control.</w:t>
      </w:r>
    </w:p>
    <w:p w14:paraId="18F99D02" w14:textId="77777777" w:rsidR="006174B7" w:rsidRDefault="006174B7" w:rsidP="006174B7">
      <w:pPr>
        <w:pStyle w:val="Prrafodelista"/>
        <w:numPr>
          <w:ilvl w:val="0"/>
          <w:numId w:val="8"/>
        </w:numPr>
        <w:spacing w:after="0" w:line="276" w:lineRule="auto"/>
        <w:jc w:val="both"/>
      </w:pPr>
      <w:r>
        <w:t>Incrementar el número de campañas de difusión para informar a la ciudadanía sobre las medidas de prevención en las viviendas.</w:t>
      </w:r>
    </w:p>
    <w:p w14:paraId="66CC6960" w14:textId="77777777" w:rsidR="006174B7" w:rsidRDefault="006174B7" w:rsidP="006174B7">
      <w:pPr>
        <w:pStyle w:val="Prrafodelista"/>
        <w:numPr>
          <w:ilvl w:val="0"/>
          <w:numId w:val="8"/>
        </w:numPr>
        <w:spacing w:after="0" w:line="276" w:lineRule="auto"/>
        <w:jc w:val="both"/>
      </w:pPr>
      <w:r>
        <w:t>Gestionar presupuesto en base a proyectos en el gobierno del estado para optimizar la operación del programa.</w:t>
      </w:r>
    </w:p>
    <w:p w14:paraId="4AF38441" w14:textId="77777777" w:rsidR="006174B7" w:rsidRDefault="006174B7" w:rsidP="006174B7">
      <w:pPr>
        <w:pStyle w:val="Prrafodelista"/>
        <w:numPr>
          <w:ilvl w:val="0"/>
          <w:numId w:val="8"/>
        </w:numPr>
        <w:spacing w:after="0" w:line="276" w:lineRule="auto"/>
        <w:jc w:val="both"/>
      </w:pPr>
      <w:r>
        <w:t>Establecer enlaces a través del área de Promoción de la Salud con instituciones educativas.</w:t>
      </w:r>
    </w:p>
    <w:p w14:paraId="6D661027" w14:textId="77777777" w:rsidR="006174B7" w:rsidRDefault="006174B7" w:rsidP="006174B7">
      <w:pPr>
        <w:pStyle w:val="Prrafodelista"/>
        <w:numPr>
          <w:ilvl w:val="0"/>
          <w:numId w:val="8"/>
        </w:numPr>
        <w:spacing w:after="0" w:line="276" w:lineRule="auto"/>
        <w:jc w:val="both"/>
      </w:pPr>
      <w:r>
        <w:t>Destinar presupuesto para la reproducción del cuestionario para medir la percepción de la población atendida.</w:t>
      </w:r>
    </w:p>
    <w:p w14:paraId="67614B05" w14:textId="77777777" w:rsidR="006174B7" w:rsidRDefault="006174B7" w:rsidP="006174B7">
      <w:pPr>
        <w:pStyle w:val="Prrafodelista"/>
        <w:numPr>
          <w:ilvl w:val="0"/>
          <w:numId w:val="8"/>
        </w:numPr>
        <w:spacing w:after="0" w:line="276" w:lineRule="auto"/>
        <w:jc w:val="both"/>
      </w:pPr>
      <w:r>
        <w:lastRenderedPageBreak/>
        <w:t>Adquisición oportuna de los insumos necesarios.</w:t>
      </w:r>
    </w:p>
    <w:p w14:paraId="5B3242D7" w14:textId="77777777"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Debilidades:</w:t>
      </w:r>
    </w:p>
    <w:p w14:paraId="333F2D6A" w14:textId="77777777" w:rsidR="005D6B8F" w:rsidRDefault="005D6B8F" w:rsidP="005D6B8F">
      <w:pPr>
        <w:pStyle w:val="Prrafodelista"/>
        <w:numPr>
          <w:ilvl w:val="0"/>
          <w:numId w:val="8"/>
        </w:numPr>
        <w:spacing w:after="0" w:line="276" w:lineRule="auto"/>
        <w:jc w:val="both"/>
      </w:pPr>
      <w:r>
        <w:t>La obtención de resultados óptimos (Baja letalidad y/o morbilidad) no depende 100% del programa Dengue, ya que intervienen otras áreas como Atención Medica, Epidemiología y Promoción de la Salud.</w:t>
      </w:r>
    </w:p>
    <w:p w14:paraId="19BE0192" w14:textId="77777777" w:rsidR="005D6B8F" w:rsidRDefault="005D6B8F" w:rsidP="005D6B8F">
      <w:pPr>
        <w:pStyle w:val="Prrafodelista"/>
        <w:numPr>
          <w:ilvl w:val="0"/>
          <w:numId w:val="8"/>
        </w:numPr>
        <w:spacing w:after="0" w:line="276" w:lineRule="auto"/>
        <w:jc w:val="both"/>
      </w:pPr>
      <w:r>
        <w:t>Que los médicos tratantes no se encuentren capacitados para diagnosticar el Dengue.</w:t>
      </w:r>
    </w:p>
    <w:p w14:paraId="539FD19E" w14:textId="77777777" w:rsidR="005D6B8F" w:rsidRDefault="005D6B8F" w:rsidP="005D6B8F">
      <w:pPr>
        <w:pStyle w:val="Prrafodelista"/>
        <w:numPr>
          <w:ilvl w:val="0"/>
          <w:numId w:val="8"/>
        </w:numPr>
        <w:spacing w:after="0" w:line="276" w:lineRule="auto"/>
        <w:jc w:val="both"/>
      </w:pPr>
      <w:r>
        <w:t>No se cuenta con un instrumento para medir el grado de satisfacción de la población atendida por el programa, sin embargo, se cuenta con personal que realiza visitas casa por casa, lo que facilitaría la aplicación de una encuesta en muestra de las viviendas atendidas por el programa.</w:t>
      </w:r>
    </w:p>
    <w:p w14:paraId="78DC71F1" w14:textId="77777777" w:rsidR="005D6B8F" w:rsidRDefault="005D6B8F" w:rsidP="005D6B8F">
      <w:pPr>
        <w:pStyle w:val="Prrafodelista"/>
        <w:numPr>
          <w:ilvl w:val="0"/>
          <w:numId w:val="8"/>
        </w:numPr>
        <w:spacing w:after="0" w:line="276" w:lineRule="auto"/>
        <w:jc w:val="both"/>
      </w:pPr>
      <w:r>
        <w:t>La información que se reporte depende una oportuna captura de la misma.</w:t>
      </w:r>
    </w:p>
    <w:p w14:paraId="3C0C1519" w14:textId="77777777" w:rsidR="005D6B8F" w:rsidRDefault="005D6B8F" w:rsidP="005D6B8F">
      <w:pPr>
        <w:pStyle w:val="Prrafodelista"/>
        <w:numPr>
          <w:ilvl w:val="0"/>
          <w:numId w:val="8"/>
        </w:numPr>
        <w:spacing w:after="0" w:line="276" w:lineRule="auto"/>
        <w:jc w:val="both"/>
      </w:pPr>
      <w:r>
        <w:t>No se pueden hacer modificaciones en edificios de renta, con el objetivo de adecuar las áreas de operación para el programa.</w:t>
      </w:r>
    </w:p>
    <w:p w14:paraId="22DADFD3" w14:textId="3FF56475"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Amenazas:</w:t>
      </w:r>
    </w:p>
    <w:p w14:paraId="0FD4F9BE" w14:textId="77777777" w:rsidR="005D6B8F" w:rsidRDefault="005D6B8F" w:rsidP="005D6B8F">
      <w:pPr>
        <w:pStyle w:val="Prrafodelista"/>
        <w:numPr>
          <w:ilvl w:val="0"/>
          <w:numId w:val="8"/>
        </w:numPr>
        <w:spacing w:after="0" w:line="276" w:lineRule="auto"/>
        <w:jc w:val="both"/>
      </w:pPr>
      <w:r>
        <w:t>Que las personas no acudan al médico durante los primeros días de inicio del cuadro clínico.</w:t>
      </w:r>
    </w:p>
    <w:p w14:paraId="787DA2D8" w14:textId="77777777" w:rsidR="005D6B8F" w:rsidRDefault="005D6B8F" w:rsidP="005D6B8F">
      <w:pPr>
        <w:pStyle w:val="Prrafodelista"/>
        <w:numPr>
          <w:ilvl w:val="0"/>
          <w:numId w:val="8"/>
        </w:numPr>
        <w:spacing w:after="0" w:line="276" w:lineRule="auto"/>
        <w:jc w:val="both"/>
      </w:pPr>
      <w:r>
        <w:t>Derivado de las condiciones de inseguridad, los moradores no dan acceso a sus viviendas, es por ello que terminan existiendo un gran número de personas renuentes sobre todo en las principales ciudades del estado.</w:t>
      </w:r>
    </w:p>
    <w:p w14:paraId="70274C67" w14:textId="77777777" w:rsidR="005D6B8F" w:rsidRDefault="005D6B8F" w:rsidP="005D6B8F">
      <w:pPr>
        <w:pStyle w:val="Prrafodelista"/>
        <w:numPr>
          <w:ilvl w:val="0"/>
          <w:numId w:val="8"/>
        </w:numPr>
        <w:spacing w:after="0" w:line="276" w:lineRule="auto"/>
        <w:jc w:val="both"/>
      </w:pPr>
      <w:r>
        <w:t>No se cuenta con un instrumento para medir el grado de satisfacción de la población atendida por el Programa, sin embargo, se cuenta con personal que realiza visitas casa por casa, lo que facilitaría la aplicación de una encuesta en muestra de las viviendas atendidas por el programa.</w:t>
      </w:r>
    </w:p>
    <w:p w14:paraId="722ECCFD" w14:textId="77777777" w:rsidR="005D6B8F" w:rsidRDefault="005D6B8F" w:rsidP="005D6B8F">
      <w:pPr>
        <w:pStyle w:val="Prrafodelista"/>
        <w:numPr>
          <w:ilvl w:val="0"/>
          <w:numId w:val="8"/>
        </w:numPr>
        <w:spacing w:after="0" w:line="276" w:lineRule="auto"/>
        <w:jc w:val="both"/>
      </w:pPr>
      <w:r>
        <w:t xml:space="preserve">La presencia de fenómenos meteorológicos con lluvias inusuales incrementa los gastos de operación, al incrementar las densidades del mosquito vector del dengue Aedes </w:t>
      </w:r>
      <w:proofErr w:type="spellStart"/>
      <w:r>
        <w:t>aegypti</w:t>
      </w:r>
      <w:proofErr w:type="spellEnd"/>
      <w:r>
        <w:t>.</w:t>
      </w:r>
    </w:p>
    <w:p w14:paraId="087AEC91" w14:textId="77777777" w:rsidR="005D6B8F" w:rsidRDefault="005D6B8F" w:rsidP="005D6B8F">
      <w:pPr>
        <w:pStyle w:val="Prrafodelista"/>
        <w:numPr>
          <w:ilvl w:val="0"/>
          <w:numId w:val="8"/>
        </w:numPr>
        <w:spacing w:after="0" w:line="276" w:lineRule="auto"/>
        <w:jc w:val="both"/>
      </w:pPr>
      <w:r>
        <w:t>La introducción de un serotipo diferente al de circulación actual puede incrementar las áreas programadas para operar el programa.</w:t>
      </w:r>
    </w:p>
    <w:p w14:paraId="6ED22474" w14:textId="77777777" w:rsidR="005D6B8F" w:rsidRDefault="005D6B8F" w:rsidP="005D6B8F">
      <w:pPr>
        <w:pStyle w:val="Prrafodelista"/>
        <w:numPr>
          <w:ilvl w:val="0"/>
          <w:numId w:val="8"/>
        </w:numPr>
        <w:spacing w:after="0" w:line="276" w:lineRule="auto"/>
        <w:jc w:val="both"/>
      </w:pPr>
      <w:r>
        <w:t>La existencia de otras especies de mosquito en el estado que por temporadas incrementan su población puede crear una percepción negativa en cuanto a las actividades de prevención y control del programa dengue.</w:t>
      </w:r>
    </w:p>
    <w:p w14:paraId="7B2800F3" w14:textId="77777777" w:rsidR="005D6B8F" w:rsidRDefault="005D6B8F" w:rsidP="005D6B8F">
      <w:pPr>
        <w:pStyle w:val="Prrafodelista"/>
        <w:numPr>
          <w:ilvl w:val="0"/>
          <w:numId w:val="8"/>
        </w:numPr>
        <w:spacing w:after="0" w:line="276" w:lineRule="auto"/>
        <w:jc w:val="both"/>
      </w:pPr>
      <w:r>
        <w:t>Los resultados de Fin y Propósito no cumplen con resultados satisfactorios.</w:t>
      </w:r>
    </w:p>
    <w:p w14:paraId="48B976B1" w14:textId="77777777" w:rsidR="005D6B8F" w:rsidRDefault="005D6B8F" w:rsidP="005D6B8F">
      <w:pPr>
        <w:pStyle w:val="Prrafodelista"/>
        <w:numPr>
          <w:ilvl w:val="0"/>
          <w:numId w:val="8"/>
        </w:numPr>
        <w:spacing w:after="0" w:line="276" w:lineRule="auto"/>
        <w:jc w:val="both"/>
      </w:pPr>
      <w:r>
        <w:t>Afectaciones por recortes o re direccionamiento de los recursos.</w:t>
      </w:r>
    </w:p>
    <w:p w14:paraId="0E0B4D6E" w14:textId="77777777" w:rsidR="005D6B8F" w:rsidRDefault="005D6B8F" w:rsidP="005D6B8F">
      <w:pPr>
        <w:pStyle w:val="Prrafodelista"/>
        <w:numPr>
          <w:ilvl w:val="0"/>
          <w:numId w:val="8"/>
        </w:numPr>
        <w:spacing w:after="0" w:line="276" w:lineRule="auto"/>
        <w:jc w:val="both"/>
      </w:pPr>
      <w:r>
        <w:t>El diseño del programa depende de un programa a nivel nacional, por lo que puede verse afectado a gran medida de los ajustes que se realicen a ese nivel.</w:t>
      </w:r>
    </w:p>
    <w:p w14:paraId="62A6225E" w14:textId="77777777" w:rsidR="005D6B8F" w:rsidRDefault="005D6B8F" w:rsidP="005D6B8F">
      <w:pPr>
        <w:pStyle w:val="Prrafodelista"/>
        <w:numPr>
          <w:ilvl w:val="0"/>
          <w:numId w:val="8"/>
        </w:numPr>
        <w:spacing w:after="0" w:line="276" w:lineRule="auto"/>
        <w:jc w:val="both"/>
      </w:pPr>
      <w:r>
        <w:t>Las guías operativas se actualizan cada 2 años, por lo que la información puede presentarse desactualizada.</w:t>
      </w:r>
    </w:p>
    <w:p w14:paraId="1A814CD6" w14:textId="77777777" w:rsidR="005D6B8F" w:rsidRDefault="005D6B8F" w:rsidP="005D6B8F">
      <w:pPr>
        <w:pStyle w:val="Prrafodelista"/>
        <w:numPr>
          <w:ilvl w:val="0"/>
          <w:numId w:val="8"/>
        </w:numPr>
        <w:spacing w:after="0" w:line="276" w:lineRule="auto"/>
        <w:jc w:val="both"/>
      </w:pPr>
      <w:r>
        <w:t>La NOM-032-SSA2-2014 no se ha actualizado y algunos de los procesos que se presentan en la misma, ya no son válidos.</w:t>
      </w:r>
    </w:p>
    <w:p w14:paraId="6D6D7BAA" w14:textId="77777777" w:rsidR="005D6B8F" w:rsidRDefault="005D6B8F" w:rsidP="005D6B8F">
      <w:pPr>
        <w:pStyle w:val="Prrafodelista"/>
        <w:numPr>
          <w:ilvl w:val="0"/>
          <w:numId w:val="8"/>
        </w:numPr>
        <w:spacing w:after="0" w:line="276" w:lineRule="auto"/>
        <w:jc w:val="both"/>
      </w:pPr>
      <w:r>
        <w:t>La renuencia en las ciudades está incrementando motivado por la violencia que impera en algunas zonas lo que reduce las coberturas del programa.</w:t>
      </w:r>
    </w:p>
    <w:p w14:paraId="30BA35DA" w14:textId="39697654" w:rsidR="00AF2993" w:rsidRDefault="00AF2993" w:rsidP="00521401">
      <w:pPr>
        <w:spacing w:after="0" w:line="276" w:lineRule="auto"/>
        <w:ind w:hanging="284"/>
        <w:jc w:val="both"/>
      </w:pPr>
    </w:p>
    <w:p w14:paraId="53CA4140" w14:textId="77777777" w:rsidR="005D6B8F" w:rsidRDefault="005D6B8F">
      <w:r>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AF2993" w14:paraId="2071B523" w14:textId="77777777" w:rsidTr="00090637">
        <w:trPr>
          <w:trHeight w:val="340"/>
        </w:trPr>
        <w:tc>
          <w:tcPr>
            <w:tcW w:w="9910" w:type="dxa"/>
            <w:shd w:val="clear" w:color="auto" w:fill="651D32"/>
            <w:vAlign w:val="center"/>
          </w:tcPr>
          <w:p w14:paraId="0D736EE3" w14:textId="3DA3E663" w:rsidR="00AF2993" w:rsidRDefault="00AF2993" w:rsidP="006F4B1F">
            <w:pPr>
              <w:pStyle w:val="Prrafodelista"/>
              <w:numPr>
                <w:ilvl w:val="0"/>
                <w:numId w:val="4"/>
              </w:numPr>
              <w:spacing w:after="0" w:line="276" w:lineRule="auto"/>
            </w:pPr>
            <w:r w:rsidRPr="00AF2993">
              <w:rPr>
                <w:b/>
                <w:bCs/>
                <w:color w:val="FFFFFF" w:themeColor="background1"/>
              </w:rPr>
              <w:lastRenderedPageBreak/>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5568941F" w14:textId="77777777" w:rsidR="00A4624B" w:rsidRPr="00A4624B" w:rsidRDefault="00A4624B" w:rsidP="00AC6C96">
      <w:pPr>
        <w:spacing w:line="276" w:lineRule="auto"/>
        <w:ind w:left="284"/>
        <w:jc w:val="both"/>
        <w:rPr>
          <w:lang w:val="es-ES"/>
        </w:rPr>
      </w:pPr>
      <w:r w:rsidRPr="00A4624B">
        <w:rPr>
          <w:lang w:val="es-ES"/>
        </w:rPr>
        <w:t xml:space="preserve">La ECR se basa en responder 51 preguntas que abordan los temas de diseño, planeación y orientación a resultados, cobertura y focalización, operación, percepción de la población atendida, medición de resultados y en la elaboración de diversos anexos. </w:t>
      </w:r>
    </w:p>
    <w:p w14:paraId="28075071" w14:textId="77777777" w:rsidR="00A4624B" w:rsidRPr="00A4624B" w:rsidRDefault="00A4624B" w:rsidP="00AC6C96">
      <w:pPr>
        <w:spacing w:line="276" w:lineRule="auto"/>
        <w:ind w:left="284"/>
        <w:jc w:val="both"/>
        <w:rPr>
          <w:lang w:val="es-ES"/>
        </w:rPr>
      </w:pPr>
      <w:r w:rsidRPr="00A4624B">
        <w:rPr>
          <w:lang w:val="es-ES"/>
        </w:rPr>
        <w:t>De las 51 preguntas, 34 deben ser respondidas mediante un esquema binario (sí/no) sustentando con evidencia documental y haciendo explícitos los principales argumentos empleados en el análisis. Estas preguntas presentan diversos niveles de respuesta cuya puntuación más alta es de 4 y la mínima de 0 cuando la respuesta es no.</w:t>
      </w:r>
    </w:p>
    <w:p w14:paraId="59993DEE" w14:textId="69A66EAC" w:rsidR="00A4624B" w:rsidRDefault="005D6B8F" w:rsidP="00A4624B">
      <w:pPr>
        <w:spacing w:after="0" w:line="276" w:lineRule="auto"/>
        <w:ind w:left="284"/>
        <w:jc w:val="both"/>
      </w:pPr>
      <w:r>
        <w:t>Con base en las preguntas que tienen una repuesta binaria y que presentan una calificación se obtuvieron los resultados anotados en el siguiente cuadro. Como se puede observar, la puntuación global es de 2.19 sobre una calificación máxima de 4 para cada uno de los temas, destacándose las notas de diseño, cobertura y focalización y por otro lado operación, sin embargo, es preciso anotar que este es el primer ejercicio de evaluación de este programa en el estado de Sinaloa por lo que no hay evaluaciones previas que permitan contestar las preguntas 16, 17, 18, 19 y 20 en la sección de Planeación y Orientación a Resultados y las preguntas 46, 47, 48, 49, 50 y 51 de la sección de Resultados.</w:t>
      </w:r>
    </w:p>
    <w:p w14:paraId="30F09E91" w14:textId="77777777" w:rsidR="005D6B8F" w:rsidRDefault="005D6B8F" w:rsidP="00A4624B">
      <w:pPr>
        <w:spacing w:after="0" w:line="276" w:lineRule="auto"/>
        <w:ind w:left="284"/>
        <w:jc w:val="both"/>
        <w:rPr>
          <w:lang w:val="es-ES"/>
        </w:rPr>
      </w:pPr>
    </w:p>
    <w:tbl>
      <w:tblPr>
        <w:tblStyle w:val="Tablaconcuadrcula"/>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681"/>
        <w:gridCol w:w="1231"/>
      </w:tblGrid>
      <w:tr w:rsidR="00A4624B" w14:paraId="2FD94B32" w14:textId="77777777" w:rsidTr="005D6B8F">
        <w:trPr>
          <w:trHeight w:val="275"/>
          <w:jc w:val="center"/>
        </w:trPr>
        <w:tc>
          <w:tcPr>
            <w:tcW w:w="3681" w:type="dxa"/>
            <w:shd w:val="clear" w:color="auto" w:fill="651D32"/>
            <w:vAlign w:val="center"/>
          </w:tcPr>
          <w:p w14:paraId="4EE87CD3" w14:textId="77777777" w:rsidR="00A4624B" w:rsidRDefault="00A4624B" w:rsidP="002C4887">
            <w:pPr>
              <w:spacing w:after="0" w:line="240" w:lineRule="auto"/>
              <w:jc w:val="center"/>
            </w:pPr>
            <w:r>
              <w:t>Tema</w:t>
            </w:r>
          </w:p>
        </w:tc>
        <w:tc>
          <w:tcPr>
            <w:tcW w:w="1231" w:type="dxa"/>
            <w:shd w:val="clear" w:color="auto" w:fill="651D32"/>
            <w:vAlign w:val="center"/>
          </w:tcPr>
          <w:p w14:paraId="48098251" w14:textId="77777777" w:rsidR="00A4624B" w:rsidRDefault="00A4624B" w:rsidP="002C4887">
            <w:pPr>
              <w:spacing w:after="0" w:line="240" w:lineRule="auto"/>
              <w:jc w:val="center"/>
            </w:pPr>
            <w:r>
              <w:t>Calificación ponderada</w:t>
            </w:r>
          </w:p>
        </w:tc>
      </w:tr>
      <w:tr w:rsidR="005D6B8F" w14:paraId="22EFC5DE" w14:textId="77777777" w:rsidTr="005D6B8F">
        <w:trPr>
          <w:trHeight w:val="57"/>
          <w:jc w:val="center"/>
        </w:trPr>
        <w:tc>
          <w:tcPr>
            <w:tcW w:w="3681" w:type="dxa"/>
            <w:vAlign w:val="center"/>
          </w:tcPr>
          <w:p w14:paraId="3E269AFA" w14:textId="77777777" w:rsidR="005D6B8F" w:rsidRDefault="005D6B8F" w:rsidP="005D6B8F">
            <w:pPr>
              <w:spacing w:after="0" w:line="240" w:lineRule="auto"/>
            </w:pPr>
            <w:r>
              <w:t>Diseño</w:t>
            </w:r>
          </w:p>
        </w:tc>
        <w:tc>
          <w:tcPr>
            <w:tcW w:w="1231" w:type="dxa"/>
            <w:vAlign w:val="center"/>
          </w:tcPr>
          <w:p w14:paraId="6A142C2E" w14:textId="64311F06" w:rsidR="005D6B8F" w:rsidRDefault="005D6B8F" w:rsidP="005D6B8F">
            <w:pPr>
              <w:spacing w:after="0" w:line="240" w:lineRule="auto"/>
              <w:jc w:val="center"/>
            </w:pPr>
            <w:r>
              <w:t>3</w:t>
            </w:r>
          </w:p>
        </w:tc>
      </w:tr>
      <w:tr w:rsidR="005D6B8F" w14:paraId="1ED456F9" w14:textId="77777777" w:rsidTr="005D6B8F">
        <w:trPr>
          <w:trHeight w:val="57"/>
          <w:jc w:val="center"/>
        </w:trPr>
        <w:tc>
          <w:tcPr>
            <w:tcW w:w="3681" w:type="dxa"/>
            <w:vAlign w:val="center"/>
          </w:tcPr>
          <w:p w14:paraId="6386915D" w14:textId="77777777" w:rsidR="005D6B8F" w:rsidRDefault="005D6B8F" w:rsidP="005D6B8F">
            <w:pPr>
              <w:spacing w:after="0" w:line="240" w:lineRule="auto"/>
            </w:pPr>
            <w:r>
              <w:t>Planeación y orientación a resultados</w:t>
            </w:r>
          </w:p>
        </w:tc>
        <w:tc>
          <w:tcPr>
            <w:tcW w:w="1231" w:type="dxa"/>
            <w:vAlign w:val="center"/>
          </w:tcPr>
          <w:p w14:paraId="3C839412" w14:textId="0BD507E7" w:rsidR="005D6B8F" w:rsidRDefault="005D6B8F" w:rsidP="005D6B8F">
            <w:pPr>
              <w:spacing w:after="0" w:line="240" w:lineRule="auto"/>
              <w:jc w:val="center"/>
            </w:pPr>
            <w:r>
              <w:t>2.17</w:t>
            </w:r>
          </w:p>
        </w:tc>
      </w:tr>
      <w:tr w:rsidR="005D6B8F" w14:paraId="3D4D2757" w14:textId="77777777" w:rsidTr="005D6B8F">
        <w:trPr>
          <w:trHeight w:val="57"/>
          <w:jc w:val="center"/>
        </w:trPr>
        <w:tc>
          <w:tcPr>
            <w:tcW w:w="3681" w:type="dxa"/>
            <w:vAlign w:val="center"/>
          </w:tcPr>
          <w:p w14:paraId="53195F87" w14:textId="77777777" w:rsidR="005D6B8F" w:rsidRDefault="005D6B8F" w:rsidP="005D6B8F">
            <w:pPr>
              <w:spacing w:after="0" w:line="240" w:lineRule="auto"/>
            </w:pPr>
            <w:r>
              <w:t>Cobertura y focalización</w:t>
            </w:r>
          </w:p>
        </w:tc>
        <w:tc>
          <w:tcPr>
            <w:tcW w:w="1231" w:type="dxa"/>
            <w:vAlign w:val="center"/>
          </w:tcPr>
          <w:p w14:paraId="0F72AC6A" w14:textId="4A4725CB" w:rsidR="005D6B8F" w:rsidRDefault="005D6B8F" w:rsidP="005D6B8F">
            <w:pPr>
              <w:spacing w:after="0" w:line="240" w:lineRule="auto"/>
              <w:jc w:val="center"/>
            </w:pPr>
            <w:r>
              <w:t>4</w:t>
            </w:r>
          </w:p>
        </w:tc>
      </w:tr>
      <w:tr w:rsidR="005D6B8F" w14:paraId="0D64BF50" w14:textId="77777777" w:rsidTr="005D6B8F">
        <w:trPr>
          <w:trHeight w:val="57"/>
          <w:jc w:val="center"/>
        </w:trPr>
        <w:tc>
          <w:tcPr>
            <w:tcW w:w="3681" w:type="dxa"/>
            <w:vAlign w:val="center"/>
          </w:tcPr>
          <w:p w14:paraId="53EAFD5C" w14:textId="77777777" w:rsidR="005D6B8F" w:rsidRDefault="005D6B8F" w:rsidP="005D6B8F">
            <w:pPr>
              <w:spacing w:after="0" w:line="240" w:lineRule="auto"/>
            </w:pPr>
            <w:r>
              <w:t>Operación</w:t>
            </w:r>
          </w:p>
        </w:tc>
        <w:tc>
          <w:tcPr>
            <w:tcW w:w="1231" w:type="dxa"/>
            <w:vAlign w:val="center"/>
          </w:tcPr>
          <w:p w14:paraId="79069A92" w14:textId="5C26490E" w:rsidR="005D6B8F" w:rsidRDefault="005D6B8F" w:rsidP="005D6B8F">
            <w:pPr>
              <w:spacing w:after="0" w:line="240" w:lineRule="auto"/>
              <w:jc w:val="center"/>
            </w:pPr>
            <w:r>
              <w:t>3.75</w:t>
            </w:r>
          </w:p>
        </w:tc>
      </w:tr>
      <w:tr w:rsidR="005D6B8F" w14:paraId="6342DFC4" w14:textId="77777777" w:rsidTr="005D6B8F">
        <w:trPr>
          <w:trHeight w:val="57"/>
          <w:jc w:val="center"/>
        </w:trPr>
        <w:tc>
          <w:tcPr>
            <w:tcW w:w="3681" w:type="dxa"/>
            <w:vAlign w:val="center"/>
          </w:tcPr>
          <w:p w14:paraId="6D0C25AB" w14:textId="77777777" w:rsidR="005D6B8F" w:rsidRDefault="005D6B8F" w:rsidP="005D6B8F">
            <w:pPr>
              <w:spacing w:after="0" w:line="240" w:lineRule="auto"/>
            </w:pPr>
            <w:r>
              <w:t>Percepción de la población atendida</w:t>
            </w:r>
          </w:p>
        </w:tc>
        <w:tc>
          <w:tcPr>
            <w:tcW w:w="1231" w:type="dxa"/>
            <w:vAlign w:val="center"/>
          </w:tcPr>
          <w:p w14:paraId="060E0783" w14:textId="3F4D3070" w:rsidR="005D6B8F" w:rsidRDefault="005D6B8F" w:rsidP="005D6B8F">
            <w:pPr>
              <w:spacing w:after="0" w:line="240" w:lineRule="auto"/>
              <w:jc w:val="center"/>
            </w:pPr>
            <w:r>
              <w:t>0</w:t>
            </w:r>
          </w:p>
        </w:tc>
      </w:tr>
      <w:tr w:rsidR="005D6B8F" w14:paraId="725AA31E" w14:textId="77777777" w:rsidTr="005D6B8F">
        <w:trPr>
          <w:trHeight w:val="57"/>
          <w:jc w:val="center"/>
        </w:trPr>
        <w:tc>
          <w:tcPr>
            <w:tcW w:w="3681" w:type="dxa"/>
            <w:vAlign w:val="center"/>
          </w:tcPr>
          <w:p w14:paraId="178F3E5E" w14:textId="77777777" w:rsidR="005D6B8F" w:rsidRDefault="005D6B8F" w:rsidP="005D6B8F">
            <w:pPr>
              <w:spacing w:after="0" w:line="240" w:lineRule="auto"/>
            </w:pPr>
            <w:r>
              <w:t>Resultados</w:t>
            </w:r>
          </w:p>
        </w:tc>
        <w:tc>
          <w:tcPr>
            <w:tcW w:w="1231" w:type="dxa"/>
            <w:vAlign w:val="center"/>
          </w:tcPr>
          <w:p w14:paraId="6D585FA8" w14:textId="5BBF0DEB" w:rsidR="005D6B8F" w:rsidRDefault="005D6B8F" w:rsidP="005D6B8F">
            <w:pPr>
              <w:spacing w:after="0" w:line="240" w:lineRule="auto"/>
              <w:jc w:val="center"/>
            </w:pPr>
            <w:r>
              <w:t>0.20</w:t>
            </w:r>
          </w:p>
        </w:tc>
      </w:tr>
      <w:tr w:rsidR="005D6B8F" w14:paraId="3BED9929" w14:textId="77777777" w:rsidTr="005D6B8F">
        <w:trPr>
          <w:trHeight w:val="57"/>
          <w:jc w:val="center"/>
        </w:trPr>
        <w:tc>
          <w:tcPr>
            <w:tcW w:w="3681" w:type="dxa"/>
            <w:vAlign w:val="center"/>
          </w:tcPr>
          <w:p w14:paraId="1A30B61A" w14:textId="77777777" w:rsidR="005D6B8F" w:rsidRDefault="005D6B8F" w:rsidP="005D6B8F">
            <w:pPr>
              <w:spacing w:after="0" w:line="240" w:lineRule="auto"/>
              <w:jc w:val="right"/>
            </w:pPr>
            <w:r>
              <w:t>Valoración final</w:t>
            </w:r>
          </w:p>
        </w:tc>
        <w:tc>
          <w:tcPr>
            <w:tcW w:w="1231" w:type="dxa"/>
            <w:vAlign w:val="center"/>
          </w:tcPr>
          <w:p w14:paraId="59C6D531" w14:textId="6A995E06" w:rsidR="005D6B8F" w:rsidRDefault="005D6B8F" w:rsidP="005D6B8F">
            <w:pPr>
              <w:spacing w:after="0" w:line="240" w:lineRule="auto"/>
              <w:jc w:val="center"/>
            </w:pPr>
            <w:r>
              <w:t>2.19</w:t>
            </w:r>
          </w:p>
        </w:tc>
      </w:tr>
    </w:tbl>
    <w:p w14:paraId="39F36B56" w14:textId="021A5E3A" w:rsidR="00A4624B" w:rsidRDefault="00A4624B" w:rsidP="00A4624B">
      <w:pPr>
        <w:spacing w:after="0" w:line="276" w:lineRule="auto"/>
        <w:ind w:left="284"/>
        <w:jc w:val="both"/>
        <w:rPr>
          <w:lang w:val="es-ES"/>
        </w:rPr>
      </w:pP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77777777"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57906095" w14:textId="77777777" w:rsidR="005D6B8F" w:rsidRDefault="005D6B8F" w:rsidP="005D6B8F">
      <w:pPr>
        <w:pStyle w:val="Prrafodelista"/>
        <w:numPr>
          <w:ilvl w:val="0"/>
          <w:numId w:val="2"/>
        </w:numPr>
        <w:spacing w:after="0" w:line="276" w:lineRule="auto"/>
        <w:jc w:val="both"/>
      </w:pPr>
      <w:r>
        <w:t>Incrementar la difusión de la campaña de control del Dengue para llegar al mayor número de personas y lograr su participación.</w:t>
      </w:r>
    </w:p>
    <w:p w14:paraId="58D6098C" w14:textId="77777777" w:rsidR="005D6B8F" w:rsidRDefault="005D6B8F" w:rsidP="005D6B8F">
      <w:pPr>
        <w:pStyle w:val="Prrafodelista"/>
        <w:numPr>
          <w:ilvl w:val="0"/>
          <w:numId w:val="2"/>
        </w:numPr>
        <w:spacing w:after="0" w:line="276" w:lineRule="auto"/>
        <w:jc w:val="both"/>
      </w:pPr>
      <w:r>
        <w:t>Entablar un acercamiento con el sector educativo para iniciar con capacitaciones desde las escuelas.</w:t>
      </w:r>
    </w:p>
    <w:p w14:paraId="26391C66" w14:textId="77777777" w:rsidR="005D6B8F" w:rsidRDefault="005D6B8F" w:rsidP="005D6B8F">
      <w:pPr>
        <w:pStyle w:val="Prrafodelista"/>
        <w:numPr>
          <w:ilvl w:val="0"/>
          <w:numId w:val="2"/>
        </w:numPr>
        <w:spacing w:after="0" w:line="276" w:lineRule="auto"/>
        <w:jc w:val="both"/>
      </w:pPr>
      <w:r>
        <w:t>Capacitación continua al personal médico en el diagnóstico y tratamiento a casos probables de dengue.</w:t>
      </w:r>
    </w:p>
    <w:p w14:paraId="7803350A" w14:textId="77777777" w:rsidR="005D6B8F" w:rsidRDefault="005D6B8F" w:rsidP="005D6B8F">
      <w:pPr>
        <w:pStyle w:val="Prrafodelista"/>
        <w:numPr>
          <w:ilvl w:val="0"/>
          <w:numId w:val="2"/>
        </w:numPr>
        <w:spacing w:after="0" w:line="276" w:lineRule="auto"/>
        <w:jc w:val="both"/>
      </w:pPr>
      <w:r>
        <w:t>Enfatizar un número telefónico por parte de la persona con sintomatología de dengue para el oportuno tratamiento con acciones integrales de control.</w:t>
      </w:r>
    </w:p>
    <w:p w14:paraId="2E16C57B" w14:textId="77777777" w:rsidR="005D6B8F" w:rsidRDefault="005D6B8F" w:rsidP="005D6B8F">
      <w:pPr>
        <w:pStyle w:val="Prrafodelista"/>
        <w:numPr>
          <w:ilvl w:val="0"/>
          <w:numId w:val="2"/>
        </w:numPr>
        <w:spacing w:after="0" w:line="276" w:lineRule="auto"/>
        <w:jc w:val="both"/>
      </w:pPr>
      <w:r>
        <w:t>Incrementar el número de campañas de difusión para informar a la ciudadanía sobre las medidas de prevención en las viviendas.</w:t>
      </w:r>
    </w:p>
    <w:p w14:paraId="3AA2DB79" w14:textId="77777777" w:rsidR="005D6B8F" w:rsidRDefault="005D6B8F" w:rsidP="005D6B8F">
      <w:pPr>
        <w:pStyle w:val="Prrafodelista"/>
        <w:numPr>
          <w:ilvl w:val="0"/>
          <w:numId w:val="2"/>
        </w:numPr>
        <w:spacing w:after="0" w:line="276" w:lineRule="auto"/>
        <w:jc w:val="both"/>
      </w:pPr>
      <w:r>
        <w:t>Establecer enlaces a través del área de Promoción de la Salud con instituciones educativas.</w:t>
      </w:r>
    </w:p>
    <w:p w14:paraId="14CA77FE" w14:textId="77777777" w:rsidR="005D6B8F" w:rsidRDefault="005D6B8F" w:rsidP="005D6B8F">
      <w:pPr>
        <w:pStyle w:val="Prrafodelista"/>
        <w:numPr>
          <w:ilvl w:val="0"/>
          <w:numId w:val="2"/>
        </w:numPr>
        <w:spacing w:after="0" w:line="276" w:lineRule="auto"/>
        <w:jc w:val="both"/>
      </w:pPr>
      <w:r>
        <w:t>Destinar presupuesto para la reproducción del cuestionario para medir la percepción de la población atendida.</w:t>
      </w:r>
    </w:p>
    <w:p w14:paraId="08AD12EB" w14:textId="7183BB56" w:rsidR="00A165BB" w:rsidRDefault="005D6B8F" w:rsidP="005D6B8F">
      <w:pPr>
        <w:pStyle w:val="Prrafodelista"/>
        <w:numPr>
          <w:ilvl w:val="0"/>
          <w:numId w:val="2"/>
        </w:numPr>
        <w:spacing w:after="0" w:line="276" w:lineRule="auto"/>
        <w:jc w:val="both"/>
      </w:pPr>
      <w:r>
        <w:lastRenderedPageBreak/>
        <w:t>Gestionar la actualización de la información y procesos que se presentan en las guías metodológicas u operativas.</w:t>
      </w:r>
    </w:p>
    <w:p w14:paraId="65B6D990" w14:textId="77777777" w:rsidR="005D6B8F" w:rsidRDefault="005D6B8F" w:rsidP="005D6B8F">
      <w:pPr>
        <w:spacing w:after="0" w:line="276" w:lineRule="auto"/>
        <w:jc w:val="both"/>
      </w:pPr>
    </w:p>
    <w:tbl>
      <w:tblPr>
        <w:tblStyle w:val="Tablaconcuadrcula"/>
        <w:tblW w:w="0" w:type="auto"/>
        <w:tblLook w:val="04A0" w:firstRow="1" w:lastRow="0" w:firstColumn="1" w:lastColumn="0" w:noHBand="0" w:noVBand="1"/>
      </w:tblPr>
      <w:tblGrid>
        <w:gridCol w:w="9910"/>
      </w:tblGrid>
      <w:tr w:rsidR="00BB6D7C" w14:paraId="5BAA9691" w14:textId="77777777" w:rsidTr="00090637">
        <w:trPr>
          <w:trHeight w:val="340"/>
        </w:trPr>
        <w:tc>
          <w:tcPr>
            <w:tcW w:w="9910" w:type="dxa"/>
            <w:tcBorders>
              <w:top w:val="nil"/>
              <w:left w:val="nil"/>
              <w:bottom w:val="nil"/>
              <w:right w:val="nil"/>
            </w:tcBorders>
            <w:shd w:val="clear" w:color="auto" w:fill="651D32"/>
            <w:vAlign w:val="center"/>
          </w:tcPr>
          <w:p w14:paraId="563C2029" w14:textId="77777777" w:rsidR="00BB6D7C" w:rsidRDefault="00BB6D7C" w:rsidP="006F4B1F">
            <w:pPr>
              <w:pStyle w:val="Prrafodelista"/>
              <w:numPr>
                <w:ilvl w:val="0"/>
                <w:numId w:val="4"/>
              </w:numPr>
              <w:spacing w:after="0" w:line="276" w:lineRule="auto"/>
            </w:pPr>
            <w:r w:rsidRPr="00BB6D7C">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133709"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77777777" w:rsidR="006C747D" w:rsidRPr="00133709" w:rsidRDefault="00133709" w:rsidP="00521401">
            <w:pPr>
              <w:spacing w:after="0" w:line="276" w:lineRule="auto"/>
              <w:ind w:left="179"/>
            </w:pPr>
            <w:r>
              <w:t xml:space="preserve">Jorge Alfredo </w:t>
            </w:r>
            <w:proofErr w:type="spellStart"/>
            <w:r>
              <w:t>Gameros</w:t>
            </w:r>
            <w:proofErr w:type="spellEnd"/>
            <w:r>
              <w:t xml:space="preserve"> Rojas</w:t>
            </w:r>
          </w:p>
        </w:tc>
      </w:tr>
      <w:tr w:rsidR="006C747D"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C747D" w:rsidRPr="006C747D" w:rsidRDefault="006C747D" w:rsidP="006F4B1F">
            <w:pPr>
              <w:pStyle w:val="Prrafodelista"/>
              <w:numPr>
                <w:ilvl w:val="1"/>
                <w:numId w:val="12"/>
              </w:numPr>
              <w:spacing w:after="0" w:line="276" w:lineRule="auto"/>
              <w:ind w:left="604"/>
              <w:rPr>
                <w:b/>
                <w:bCs/>
              </w:rPr>
            </w:pPr>
            <w:r w:rsidRPr="006C747D">
              <w:rPr>
                <w:b/>
                <w:bCs/>
              </w:rPr>
              <w:t>Cargo:</w:t>
            </w:r>
          </w:p>
        </w:tc>
      </w:tr>
      <w:tr w:rsidR="00133709"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77777777" w:rsidR="006C747D" w:rsidRPr="00133709" w:rsidRDefault="00133709" w:rsidP="00521401">
            <w:pPr>
              <w:spacing w:after="0" w:line="276" w:lineRule="auto"/>
              <w:ind w:left="179"/>
            </w:pPr>
            <w:r>
              <w:t>Director de Evaluación</w:t>
            </w:r>
          </w:p>
        </w:tc>
      </w:tr>
      <w:tr w:rsidR="006C747D"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C747D" w:rsidRPr="006C747D" w:rsidRDefault="006C747D" w:rsidP="006F4B1F">
            <w:pPr>
              <w:pStyle w:val="Prrafodelista"/>
              <w:numPr>
                <w:ilvl w:val="1"/>
                <w:numId w:val="12"/>
              </w:numPr>
              <w:spacing w:after="0" w:line="276" w:lineRule="auto"/>
              <w:ind w:left="604"/>
              <w:rPr>
                <w:b/>
                <w:bCs/>
              </w:rPr>
            </w:pPr>
            <w:r w:rsidRPr="006C747D">
              <w:rPr>
                <w:b/>
                <w:bCs/>
              </w:rPr>
              <w:t>Institución a la que Pertenece:</w:t>
            </w:r>
          </w:p>
        </w:tc>
      </w:tr>
      <w:tr w:rsidR="006C747D"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77777777" w:rsidR="006C747D" w:rsidRPr="00133709" w:rsidRDefault="00133709" w:rsidP="00521401">
            <w:pPr>
              <w:spacing w:after="0" w:line="276" w:lineRule="auto"/>
              <w:ind w:left="179"/>
            </w:pPr>
            <w:r>
              <w:t>Gobierno del Estado de Sinaloa</w:t>
            </w:r>
          </w:p>
        </w:tc>
      </w:tr>
      <w:tr w:rsidR="006C747D"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C747D" w:rsidRPr="006C747D" w:rsidRDefault="006C747D" w:rsidP="006F4B1F">
            <w:pPr>
              <w:pStyle w:val="Prrafodelista"/>
              <w:numPr>
                <w:ilvl w:val="1"/>
                <w:numId w:val="12"/>
              </w:numPr>
              <w:spacing w:after="0" w:line="276" w:lineRule="auto"/>
              <w:ind w:left="604"/>
              <w:rPr>
                <w:b/>
                <w:bCs/>
              </w:rPr>
            </w:pPr>
            <w:r w:rsidRPr="006C747D">
              <w:rPr>
                <w:b/>
                <w:bCs/>
              </w:rPr>
              <w:t>Principales Colaboradores:</w:t>
            </w:r>
          </w:p>
        </w:tc>
      </w:tr>
      <w:tr w:rsidR="006C747D"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77777777" w:rsidR="006C747D" w:rsidRPr="00133709" w:rsidRDefault="00133709" w:rsidP="00521401">
            <w:pPr>
              <w:spacing w:after="0" w:line="276" w:lineRule="auto"/>
              <w:ind w:left="179"/>
            </w:pPr>
            <w:r>
              <w:t>Brenda Paola Torres González</w:t>
            </w:r>
          </w:p>
        </w:tc>
      </w:tr>
      <w:tr w:rsidR="006C747D"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C747D" w:rsidRPr="006C747D" w:rsidRDefault="006C747D" w:rsidP="006F4B1F">
            <w:pPr>
              <w:pStyle w:val="Prrafodelista"/>
              <w:numPr>
                <w:ilvl w:val="1"/>
                <w:numId w:val="12"/>
              </w:numPr>
              <w:spacing w:after="0" w:line="276" w:lineRule="auto"/>
              <w:ind w:left="604"/>
              <w:rPr>
                <w:b/>
                <w:bCs/>
              </w:rPr>
            </w:pPr>
            <w:r w:rsidRPr="006C747D">
              <w:rPr>
                <w:b/>
                <w:bCs/>
              </w:rPr>
              <w:t>Correo Electrónico del Coordinador de la Evaluación:</w:t>
            </w:r>
          </w:p>
        </w:tc>
      </w:tr>
      <w:tr w:rsidR="006C747D"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77777777" w:rsidR="006C747D" w:rsidRPr="00133709" w:rsidRDefault="00133709" w:rsidP="00521401">
            <w:pPr>
              <w:spacing w:after="0" w:line="276" w:lineRule="auto"/>
              <w:ind w:left="179"/>
            </w:pPr>
            <w:r>
              <w:t>jorge.gameros@sinaloa.gob.mx</w:t>
            </w:r>
          </w:p>
        </w:tc>
      </w:tr>
      <w:tr w:rsidR="006C747D"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C747D" w:rsidRPr="006C747D" w:rsidRDefault="006C747D" w:rsidP="006F4B1F">
            <w:pPr>
              <w:pStyle w:val="Prrafodelista"/>
              <w:numPr>
                <w:ilvl w:val="1"/>
                <w:numId w:val="12"/>
              </w:numPr>
              <w:spacing w:after="0" w:line="276" w:lineRule="auto"/>
              <w:ind w:left="604"/>
              <w:rPr>
                <w:b/>
                <w:bCs/>
              </w:rPr>
            </w:pPr>
            <w:r w:rsidRPr="006C747D">
              <w:rPr>
                <w:b/>
                <w:bCs/>
              </w:rPr>
              <w:t>Teléfono:</w:t>
            </w:r>
          </w:p>
        </w:tc>
      </w:tr>
      <w:tr w:rsidR="006C747D"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77777777" w:rsidR="006C747D" w:rsidRPr="00133709" w:rsidRDefault="006C747D" w:rsidP="00521401">
            <w:pPr>
              <w:spacing w:after="0" w:line="276" w:lineRule="auto"/>
              <w:ind w:left="179"/>
            </w:pPr>
            <w:r w:rsidRPr="007301C5">
              <w:t>(667)</w:t>
            </w:r>
            <w:r w:rsidR="00133709">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7C4CD6" w14:paraId="449405D2" w14:textId="77777777" w:rsidTr="00090637">
        <w:trPr>
          <w:trHeight w:val="340"/>
        </w:trPr>
        <w:tc>
          <w:tcPr>
            <w:tcW w:w="9910" w:type="dxa"/>
            <w:gridSpan w:val="4"/>
            <w:shd w:val="clear" w:color="auto" w:fill="651D32"/>
            <w:vAlign w:val="center"/>
          </w:tcPr>
          <w:p w14:paraId="57932F8D" w14:textId="77777777" w:rsidR="007C4CD6" w:rsidRDefault="007C4CD6" w:rsidP="006F4B1F">
            <w:pPr>
              <w:pStyle w:val="Prrafodelista"/>
              <w:numPr>
                <w:ilvl w:val="0"/>
                <w:numId w:val="4"/>
              </w:numPr>
              <w:spacing w:after="0" w:line="276" w:lineRule="auto"/>
            </w:pPr>
            <w:r w:rsidRPr="00BA4A59">
              <w:rPr>
                <w:rFonts w:eastAsia="Times New Roman"/>
                <w:b/>
                <w:color w:val="FFFFFF"/>
                <w:lang w:eastAsia="es-MX"/>
              </w:rPr>
              <w:t>Identificación del (os) Programa(</w:t>
            </w:r>
            <w:r>
              <w:rPr>
                <w:rFonts w:eastAsia="Times New Roman"/>
                <w:b/>
                <w:color w:val="FFFFFF"/>
                <w:lang w:eastAsia="es-MX"/>
              </w:rPr>
              <w:t>s</w:t>
            </w:r>
            <w:r w:rsidRPr="00BA4A59">
              <w:rPr>
                <w:rFonts w:eastAsia="Times New Roman"/>
                <w:b/>
                <w:color w:val="FFFFFF"/>
                <w:lang w:eastAsia="es-MX"/>
              </w:rPr>
              <w:t>)</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shd w:val="clear" w:color="auto" w:fill="auto"/>
            <w:vAlign w:val="center"/>
          </w:tcPr>
          <w:p w14:paraId="44738BAF" w14:textId="5435E1D6" w:rsidR="007C4CD6" w:rsidRPr="00521401" w:rsidRDefault="003F7B49" w:rsidP="00521401">
            <w:pPr>
              <w:spacing w:after="0" w:line="276" w:lineRule="auto"/>
              <w:ind w:left="179"/>
            </w:pPr>
            <w:r>
              <w:rPr>
                <w:rFonts w:eastAsia="Times New Roman"/>
                <w:color w:val="000000"/>
                <w:lang w:eastAsia="es-MX"/>
              </w:rPr>
              <w:t>Dengue</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08479E">
        <w:trPr>
          <w:trHeight w:val="340"/>
        </w:trPr>
        <w:tc>
          <w:tcPr>
            <w:tcW w:w="9910" w:type="dxa"/>
            <w:gridSpan w:val="4"/>
            <w:shd w:val="clear" w:color="auto" w:fill="auto"/>
            <w:vAlign w:val="center"/>
          </w:tcPr>
          <w:p w14:paraId="0850CE8D" w14:textId="6DBEA45D" w:rsidR="007C4CD6" w:rsidRPr="007C4CD6" w:rsidRDefault="003F7B49" w:rsidP="00521401">
            <w:pPr>
              <w:spacing w:after="0" w:line="276" w:lineRule="auto"/>
              <w:ind w:left="179"/>
            </w:pPr>
            <w:r>
              <w:t>Dengue</w:t>
            </w:r>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shd w:val="clear" w:color="auto" w:fill="auto"/>
            <w:vAlign w:val="center"/>
          </w:tcPr>
          <w:p w14:paraId="7D53808F" w14:textId="3E1F4568" w:rsidR="007C4CD6" w:rsidRPr="007C4CD6" w:rsidRDefault="00A165BB" w:rsidP="00521401">
            <w:pPr>
              <w:spacing w:after="0" w:line="276" w:lineRule="auto"/>
              <w:ind w:left="179"/>
            </w:pPr>
            <w:r w:rsidRPr="007B0196">
              <w:rPr>
                <w:rFonts w:eastAsia="Times New Roman"/>
                <w:bCs/>
                <w:color w:val="000000"/>
                <w:lang w:eastAsia="es-MX"/>
              </w:rPr>
              <w:t>Dirección de Prevención y Promoción de la Salud</w:t>
            </w:r>
          </w:p>
        </w:tc>
      </w:tr>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08479E">
        <w:trPr>
          <w:trHeight w:val="340"/>
        </w:trPr>
        <w:tc>
          <w:tcPr>
            <w:tcW w:w="2405" w:type="dxa"/>
            <w:shd w:val="clear" w:color="auto" w:fill="auto"/>
            <w:vAlign w:val="center"/>
          </w:tcPr>
          <w:p w14:paraId="43D369B0" w14:textId="419EC31C" w:rsidR="005A28B9" w:rsidRPr="00A16BE7" w:rsidRDefault="003175B8" w:rsidP="00090637">
            <w:pPr>
              <w:spacing w:after="0" w:line="276" w:lineRule="auto"/>
              <w:jc w:val="center"/>
            </w:pPr>
            <w:r>
              <w:t>X</w:t>
            </w:r>
          </w:p>
        </w:tc>
        <w:tc>
          <w:tcPr>
            <w:tcW w:w="2410" w:type="dxa"/>
            <w:shd w:val="clear" w:color="auto" w:fill="auto"/>
            <w:vAlign w:val="center"/>
          </w:tcPr>
          <w:p w14:paraId="208A5616" w14:textId="5CAC5C69" w:rsidR="005A28B9" w:rsidRPr="00A16BE7" w:rsidRDefault="005A28B9" w:rsidP="00090637">
            <w:pPr>
              <w:spacing w:after="0" w:line="276" w:lineRule="auto"/>
              <w:jc w:val="center"/>
            </w:pPr>
            <w:bookmarkStart w:id="0" w:name="_GoBack"/>
            <w:bookmarkEnd w:id="0"/>
          </w:p>
        </w:tc>
        <w:tc>
          <w:tcPr>
            <w:tcW w:w="2551" w:type="dxa"/>
            <w:shd w:val="clear" w:color="auto" w:fill="auto"/>
            <w:vAlign w:val="center"/>
          </w:tcPr>
          <w:p w14:paraId="761558F7" w14:textId="77777777" w:rsidR="005A28B9" w:rsidRPr="00A16BE7" w:rsidRDefault="005A28B9" w:rsidP="00090637">
            <w:pPr>
              <w:spacing w:after="0" w:line="276" w:lineRule="auto"/>
              <w:jc w:val="center"/>
            </w:pPr>
          </w:p>
        </w:tc>
        <w:tc>
          <w:tcPr>
            <w:tcW w:w="2544" w:type="dxa"/>
            <w:shd w:val="clear" w:color="auto" w:fill="auto"/>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3F7B49">
        <w:trPr>
          <w:trHeight w:val="340"/>
        </w:trPr>
        <w:tc>
          <w:tcPr>
            <w:tcW w:w="3256" w:type="dxa"/>
            <w:shd w:val="clear" w:color="auto" w:fill="auto"/>
            <w:vAlign w:val="center"/>
          </w:tcPr>
          <w:p w14:paraId="06EEC80E" w14:textId="4766C129" w:rsidR="00090637" w:rsidRPr="00D913D9" w:rsidRDefault="005D6B8F" w:rsidP="00287214">
            <w:pPr>
              <w:spacing w:after="0" w:line="276" w:lineRule="auto"/>
              <w:jc w:val="center"/>
              <w:rPr>
                <w:bCs/>
              </w:rPr>
            </w:pPr>
            <w:r>
              <w:rPr>
                <w:bCs/>
              </w:rPr>
              <w:t>X</w:t>
            </w:r>
          </w:p>
        </w:tc>
        <w:tc>
          <w:tcPr>
            <w:tcW w:w="3402" w:type="dxa"/>
            <w:shd w:val="clear" w:color="auto" w:fill="auto"/>
            <w:vAlign w:val="center"/>
          </w:tcPr>
          <w:p w14:paraId="117D875F" w14:textId="17403767" w:rsidR="00090637" w:rsidRPr="00090637" w:rsidRDefault="005D6B8F" w:rsidP="00287214">
            <w:pPr>
              <w:spacing w:after="0" w:line="276" w:lineRule="auto"/>
              <w:jc w:val="center"/>
            </w:pPr>
            <w:r>
              <w:t>X</w:t>
            </w:r>
          </w:p>
        </w:tc>
        <w:tc>
          <w:tcPr>
            <w:tcW w:w="3252" w:type="dxa"/>
            <w:shd w:val="clear" w:color="auto" w:fill="auto"/>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552EE7">
        <w:trPr>
          <w:trHeight w:val="340"/>
        </w:trPr>
        <w:tc>
          <w:tcPr>
            <w:tcW w:w="9910" w:type="dxa"/>
            <w:gridSpan w:val="3"/>
            <w:shd w:val="clear" w:color="auto" w:fill="auto"/>
          </w:tcPr>
          <w:p w14:paraId="7091B8EA" w14:textId="5C7AF26D" w:rsidR="005065B9" w:rsidRPr="00521401" w:rsidRDefault="00975299" w:rsidP="005065B9">
            <w:pPr>
              <w:spacing w:after="0" w:line="276" w:lineRule="auto"/>
              <w:ind w:left="179"/>
            </w:pPr>
            <w:r w:rsidRPr="001D3CC4">
              <w:t xml:space="preserve">Gerardo Kenny </w:t>
            </w:r>
            <w:proofErr w:type="spellStart"/>
            <w:r w:rsidRPr="001D3CC4">
              <w:t>Inzunza</w:t>
            </w:r>
            <w:proofErr w:type="spellEnd"/>
            <w:r w:rsidRPr="001D3CC4">
              <w:t xml:space="preserve"> Leyva</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552EE7">
        <w:trPr>
          <w:trHeight w:val="340"/>
        </w:trPr>
        <w:tc>
          <w:tcPr>
            <w:tcW w:w="9910" w:type="dxa"/>
            <w:gridSpan w:val="3"/>
            <w:shd w:val="clear" w:color="auto" w:fill="auto"/>
          </w:tcPr>
          <w:p w14:paraId="54E4AA94" w14:textId="1851B930" w:rsidR="00A4624B" w:rsidRPr="007301C5" w:rsidRDefault="00A4624B" w:rsidP="00A4624B">
            <w:pPr>
              <w:spacing w:after="0" w:line="276" w:lineRule="auto"/>
              <w:ind w:left="179"/>
            </w:pPr>
            <w:r w:rsidRPr="00291F0A">
              <w:t>doctor_inzunza@hotmail.com</w:t>
            </w:r>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5065B9" w14:paraId="3C5D9DC6" w14:textId="77777777" w:rsidTr="00552EE7">
        <w:trPr>
          <w:trHeight w:val="340"/>
        </w:trPr>
        <w:tc>
          <w:tcPr>
            <w:tcW w:w="9910" w:type="dxa"/>
            <w:gridSpan w:val="3"/>
            <w:shd w:val="clear" w:color="auto" w:fill="auto"/>
          </w:tcPr>
          <w:p w14:paraId="138DA773" w14:textId="626E8A01" w:rsidR="005065B9" w:rsidRPr="007301C5" w:rsidRDefault="00831AF9" w:rsidP="005065B9">
            <w:pPr>
              <w:spacing w:after="0" w:line="276" w:lineRule="auto"/>
              <w:ind w:left="179"/>
            </w:pPr>
            <w:r>
              <w:lastRenderedPageBreak/>
              <w:t>Servicios de Salud de Sinaloa</w:t>
            </w:r>
          </w:p>
        </w:tc>
      </w:tr>
      <w:tr w:rsidR="00A753A2"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sidR="00287214">
              <w:rPr>
                <w:rFonts w:eastAsia="Times New Roman"/>
                <w:b/>
                <w:color w:val="000000"/>
                <w:lang w:eastAsia="es-MX"/>
              </w:rPr>
              <w:t xml:space="preserve">clave </w:t>
            </w:r>
            <w:r w:rsidRPr="00A753A2">
              <w:rPr>
                <w:rFonts w:eastAsia="Times New Roman"/>
                <w:b/>
                <w:color w:val="000000"/>
                <w:lang w:eastAsia="es-MX"/>
              </w:rPr>
              <w:t>lada:</w:t>
            </w:r>
          </w:p>
        </w:tc>
      </w:tr>
      <w:tr w:rsidR="005065B9" w14:paraId="49F6EF2F" w14:textId="77777777" w:rsidTr="00552EE7">
        <w:trPr>
          <w:trHeight w:val="340"/>
        </w:trPr>
        <w:tc>
          <w:tcPr>
            <w:tcW w:w="9910" w:type="dxa"/>
            <w:gridSpan w:val="3"/>
            <w:shd w:val="clear" w:color="auto" w:fill="auto"/>
          </w:tcPr>
          <w:p w14:paraId="6F19C066" w14:textId="168A2DD7" w:rsidR="005065B9" w:rsidRPr="007301C5" w:rsidRDefault="005065B9" w:rsidP="005065B9">
            <w:pPr>
              <w:spacing w:after="0" w:line="276" w:lineRule="auto"/>
              <w:ind w:left="179"/>
            </w:pPr>
            <w:r w:rsidRPr="0058649A">
              <w:t xml:space="preserve">(667) </w:t>
            </w:r>
            <w:r w:rsidR="00A4624B">
              <w:t>758 7000 Ext. 40399</w:t>
            </w:r>
          </w:p>
        </w:tc>
      </w:tr>
    </w:tbl>
    <w:p w14:paraId="2142A7BB" w14:textId="246D872C" w:rsidR="005D6B8F" w:rsidRDefault="005D6B8F" w:rsidP="00090637">
      <w:pPr>
        <w:spacing w:after="0" w:line="276" w:lineRule="auto"/>
        <w:jc w:val="both"/>
        <w:rPr>
          <w:lang w:val="es-ES"/>
        </w:rPr>
      </w:pPr>
    </w:p>
    <w:p w14:paraId="18E777A8" w14:textId="7D9DD4B2" w:rsidR="005D6B8F" w:rsidRDefault="005D6B8F" w:rsidP="005D6B8F">
      <w:pPr>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090637" w14:paraId="732B5D37" w14:textId="77777777" w:rsidTr="00C61D21">
        <w:trPr>
          <w:trHeight w:val="340"/>
        </w:trPr>
        <w:tc>
          <w:tcPr>
            <w:tcW w:w="9910" w:type="dxa"/>
            <w:gridSpan w:val="4"/>
            <w:shd w:val="clear" w:color="auto" w:fill="651D32"/>
            <w:vAlign w:val="center"/>
          </w:tcPr>
          <w:p w14:paraId="1529799E" w14:textId="77777777" w:rsidR="00090637" w:rsidRPr="00866990" w:rsidRDefault="00090637" w:rsidP="006F4B1F">
            <w:pPr>
              <w:pStyle w:val="Prrafodelista"/>
              <w:numPr>
                <w:ilvl w:val="0"/>
                <w:numId w:val="4"/>
              </w:numPr>
              <w:spacing w:after="0" w:line="276" w:lineRule="auto"/>
            </w:pPr>
            <w:r w:rsidRPr="00866990">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shd w:val="clear" w:color="auto" w:fill="auto"/>
            <w:vAlign w:val="center"/>
          </w:tcPr>
          <w:p w14:paraId="22D310B8" w14:textId="77777777" w:rsidR="00A06CEF" w:rsidRPr="00866990" w:rsidRDefault="00C61D21" w:rsidP="00A06CEF">
            <w:pPr>
              <w:spacing w:after="0" w:line="276" w:lineRule="auto"/>
            </w:pPr>
            <w:r w:rsidRPr="00866990">
              <w:t>Evaluación Interna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90637" w14:paraId="4305D4C3" w14:textId="77777777" w:rsidTr="00C61D21">
        <w:trPr>
          <w:trHeight w:val="340"/>
        </w:trPr>
        <w:tc>
          <w:tcPr>
            <w:tcW w:w="9910" w:type="dxa"/>
            <w:gridSpan w:val="4"/>
            <w:shd w:val="clear" w:color="auto" w:fill="auto"/>
            <w:vAlign w:val="center"/>
          </w:tcPr>
          <w:p w14:paraId="334040E1" w14:textId="77777777" w:rsidR="00090637" w:rsidRPr="00866990" w:rsidRDefault="00090637" w:rsidP="00521401">
            <w:pPr>
              <w:spacing w:after="0" w:line="276" w:lineRule="auto"/>
              <w:ind w:left="179"/>
            </w:pP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090637" w14:paraId="5CBDEAA7" w14:textId="77777777" w:rsidTr="00C61D21">
        <w:trPr>
          <w:trHeight w:val="340"/>
        </w:trPr>
        <w:tc>
          <w:tcPr>
            <w:tcW w:w="9910" w:type="dxa"/>
            <w:gridSpan w:val="4"/>
            <w:shd w:val="clear" w:color="auto" w:fill="auto"/>
            <w:vAlign w:val="center"/>
          </w:tcPr>
          <w:p w14:paraId="2A2EB40C" w14:textId="77777777" w:rsidR="00090637" w:rsidRPr="00866990" w:rsidRDefault="00C61D21" w:rsidP="00521401">
            <w:pPr>
              <w:spacing w:after="0" w:line="276" w:lineRule="auto"/>
              <w:ind w:left="179"/>
            </w:pPr>
            <w:r w:rsidRPr="00866990">
              <w:t>$</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4C435E" w:rsidRPr="004C435E" w14:paraId="0EF2F8FE" w14:textId="77777777" w:rsidTr="004C435E">
        <w:trPr>
          <w:trHeight w:val="340"/>
        </w:trPr>
        <w:tc>
          <w:tcPr>
            <w:tcW w:w="9910" w:type="dxa"/>
            <w:gridSpan w:val="4"/>
            <w:shd w:val="clear" w:color="auto" w:fill="auto"/>
            <w:vAlign w:val="center"/>
          </w:tcPr>
          <w:p w14:paraId="7D64613A" w14:textId="77777777" w:rsidR="004C435E" w:rsidRPr="00866990" w:rsidRDefault="004C435E" w:rsidP="004C435E">
            <w:pPr>
              <w:spacing w:after="0" w:line="276" w:lineRule="auto"/>
              <w:ind w:left="179"/>
            </w:pPr>
          </w:p>
        </w:tc>
      </w:tr>
      <w:tr w:rsidR="00090637" w14:paraId="2A1035F1" w14:textId="77777777" w:rsidTr="00C61D21">
        <w:trPr>
          <w:trHeight w:val="340"/>
        </w:trPr>
        <w:tc>
          <w:tcPr>
            <w:tcW w:w="9910" w:type="dxa"/>
            <w:gridSpan w:val="4"/>
            <w:shd w:val="clear" w:color="auto" w:fill="auto"/>
            <w:vAlign w:val="center"/>
          </w:tcPr>
          <w:p w14:paraId="1A46D2C3" w14:textId="77777777" w:rsidR="004C435E" w:rsidRPr="00866990" w:rsidRDefault="004C435E" w:rsidP="000D2A1A">
            <w:pPr>
              <w:spacing w:after="0" w:line="276" w:lineRule="auto"/>
            </w:pPr>
          </w:p>
        </w:tc>
      </w:tr>
      <w:tr w:rsidR="00090637" w14:paraId="48B7EE05"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651D32"/>
            <w:vAlign w:val="center"/>
          </w:tcPr>
          <w:p w14:paraId="4AF233BE" w14:textId="77777777" w:rsidR="00090637" w:rsidRPr="00866990" w:rsidRDefault="00090637" w:rsidP="006F4B1F">
            <w:pPr>
              <w:pStyle w:val="Prrafodelista"/>
              <w:numPr>
                <w:ilvl w:val="0"/>
                <w:numId w:val="4"/>
              </w:numPr>
              <w:spacing w:after="0" w:line="276" w:lineRule="auto"/>
            </w:pPr>
            <w:r w:rsidRPr="00866990">
              <w:rPr>
                <w:b/>
                <w:bCs/>
                <w:color w:val="FFFFFF" w:themeColor="background1"/>
              </w:rPr>
              <w:t>D</w:t>
            </w:r>
            <w:r w:rsidR="007D00B1" w:rsidRPr="00866990">
              <w:rPr>
                <w:b/>
                <w:bCs/>
                <w:color w:val="FFFFFF" w:themeColor="background1"/>
              </w:rPr>
              <w:t>ifusión de la Evaluación</w:t>
            </w:r>
          </w:p>
        </w:tc>
      </w:tr>
      <w:tr w:rsidR="00090637" w:rsidRPr="006C747D" w14:paraId="66E708FB"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090637">
      <w:pPr>
        <w:spacing w:after="0" w:line="276" w:lineRule="auto"/>
        <w:jc w:val="both"/>
        <w:rPr>
          <w:lang w:val="es-ES"/>
        </w:rPr>
      </w:pPr>
    </w:p>
    <w:sectPr w:rsidR="00090637" w:rsidRPr="00AF2993" w:rsidSect="006047A9">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68472" w14:textId="77777777" w:rsidR="00790C50" w:rsidRDefault="00790C50" w:rsidP="008E5209">
      <w:pPr>
        <w:spacing w:after="0" w:line="240" w:lineRule="auto"/>
      </w:pPr>
      <w:r>
        <w:separator/>
      </w:r>
    </w:p>
  </w:endnote>
  <w:endnote w:type="continuationSeparator" w:id="0">
    <w:p w14:paraId="411F266A" w14:textId="77777777" w:rsidR="00790C50" w:rsidRDefault="00790C50"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1163232363"/>
      <w:docPartObj>
        <w:docPartGallery w:val="Page Numbers (Bottom of Page)"/>
        <w:docPartUnique/>
      </w:docPartObj>
    </w:sdtPr>
    <w:sdtEndPr/>
    <w:sdtContent>
      <w:p w14:paraId="2AEE73D2" w14:textId="1EE63C79"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3175B8">
          <w:rPr>
            <w:b/>
            <w:bCs/>
            <w:noProof/>
            <w:sz w:val="18"/>
            <w:szCs w:val="18"/>
          </w:rPr>
          <w:t>8</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310406665"/>
      <w:docPartObj>
        <w:docPartGallery w:val="Page Numbers (Bottom of Page)"/>
        <w:docPartUnique/>
      </w:docPartObj>
    </w:sdtPr>
    <w:sdtEndPr/>
    <w:sdtContent>
      <w:p w14:paraId="0E690CD3" w14:textId="65F42870"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3175B8" w:rsidRPr="003175B8">
          <w:rPr>
            <w:b/>
            <w:bCs/>
            <w:noProof/>
            <w:sz w:val="18"/>
            <w:szCs w:val="18"/>
            <w:lang w:val="es-ES"/>
          </w:rPr>
          <w:t>2</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8D8C1" w14:textId="77777777" w:rsidR="00790C50" w:rsidRDefault="00790C50" w:rsidP="008E5209">
      <w:pPr>
        <w:spacing w:after="0" w:line="240" w:lineRule="auto"/>
      </w:pPr>
      <w:r>
        <w:separator/>
      </w:r>
    </w:p>
  </w:footnote>
  <w:footnote w:type="continuationSeparator" w:id="0">
    <w:p w14:paraId="00FE62BE" w14:textId="77777777" w:rsidR="00790C50" w:rsidRDefault="00790C50"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6DDD3" w14:textId="77777777" w:rsidR="0008479E" w:rsidRDefault="0008479E" w:rsidP="0008479E">
    <w:pPr>
      <w:ind w:left="3828"/>
      <w:jc w:val="right"/>
      <w:rPr>
        <w:rFonts w:ascii="Medium" w:hAnsi="Medium" w:cs="Arial"/>
        <w:b/>
        <w:color w:val="651D32"/>
        <w:sz w:val="26"/>
        <w:szCs w:val="26"/>
      </w:rPr>
    </w:pPr>
    <w:r>
      <w:rPr>
        <w:rFonts w:ascii="Medium" w:hAnsi="Medium" w:cs="Arial"/>
        <w:b/>
        <w:noProof/>
        <w:color w:val="651D32"/>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A65C5E">
      <w:rPr>
        <w:rFonts w:ascii="Medium" w:hAnsi="Medium" w:cs="Arial"/>
        <w:b/>
        <w:color w:val="651D32"/>
        <w:sz w:val="26"/>
        <w:szCs w:val="26"/>
      </w:rPr>
      <w:t xml:space="preserve">Formato para la Difusión de los Resultados de la Evaluación del </w:t>
    </w:r>
    <w:r>
      <w:rPr>
        <w:rFonts w:ascii="Medium" w:hAnsi="Medium" w:cs="Arial"/>
        <w:b/>
        <w:color w:val="651D32"/>
        <w:sz w:val="26"/>
        <w:szCs w:val="26"/>
      </w:rPr>
      <w:t>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FD386" w14:textId="77777777" w:rsidR="0086126F" w:rsidRDefault="006047A9" w:rsidP="0085511A">
    <w:pPr>
      <w:ind w:left="3828"/>
      <w:jc w:val="right"/>
      <w:rPr>
        <w:rFonts w:ascii="Medium" w:hAnsi="Medium" w:cs="Arial"/>
        <w:b/>
        <w:color w:val="651D32"/>
        <w:sz w:val="26"/>
        <w:szCs w:val="26"/>
      </w:rPr>
    </w:pPr>
    <w:r>
      <w:rPr>
        <w:rFonts w:ascii="Medium" w:hAnsi="Medium" w:cs="Arial"/>
        <w:b/>
        <w:noProof/>
        <w:color w:val="651D32"/>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A65C5E">
      <w:rPr>
        <w:rFonts w:ascii="Medium" w:hAnsi="Medium" w:cs="Arial"/>
        <w:b/>
        <w:color w:val="651D32"/>
        <w:sz w:val="26"/>
        <w:szCs w:val="26"/>
      </w:rPr>
      <w:t>Formato para la Difusión de los Resultados de la Evaluaci</w:t>
    </w:r>
    <w:r w:rsidR="002272AA" w:rsidRPr="00A65C5E">
      <w:rPr>
        <w:rFonts w:ascii="Medium" w:hAnsi="Medium" w:cs="Arial"/>
        <w:b/>
        <w:color w:val="651D32"/>
        <w:sz w:val="26"/>
        <w:szCs w:val="26"/>
      </w:rPr>
      <w:t xml:space="preserve">ón del </w:t>
    </w:r>
    <w:r w:rsidR="00A65C5E">
      <w:rPr>
        <w:rFonts w:ascii="Medium" w:hAnsi="Medium" w:cs="Arial"/>
        <w:b/>
        <w:color w:val="651D32"/>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566.65pt;height:595.65pt" o:bullet="t">
        <v:imagedata r:id="rId1" o:title="03"/>
      </v:shape>
    </w:pict>
  </w:numPicBullet>
  <w:numPicBullet w:numPicBulletId="1">
    <w:pict>
      <v:shape id="_x0000_i1085" type="#_x0000_t75" style="width:282.4pt;height:297.35pt" o:bullet="t">
        <v:imagedata r:id="rId2" o:title="04"/>
      </v:shape>
    </w:pict>
  </w:numPicBullet>
  <w:abstractNum w:abstractNumId="0" w15:restartNumberingAfterBreak="0">
    <w:nsid w:val="0BEE6A0D"/>
    <w:multiLevelType w:val="hybridMultilevel"/>
    <w:tmpl w:val="66BCC296"/>
    <w:lvl w:ilvl="0" w:tplc="080A0001">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D00CA9"/>
    <w:multiLevelType w:val="multilevel"/>
    <w:tmpl w:val="080A001F"/>
    <w:numStyleLink w:val="Estilo1"/>
  </w:abstractNum>
  <w:abstractNum w:abstractNumId="2"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3"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5"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7F532EF"/>
    <w:multiLevelType w:val="hybridMultilevel"/>
    <w:tmpl w:val="55E0EADC"/>
    <w:lvl w:ilvl="0" w:tplc="BD7AA8B2">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0"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14"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5"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EB86A22"/>
    <w:multiLevelType w:val="hybridMultilevel"/>
    <w:tmpl w:val="C7C4255C"/>
    <w:lvl w:ilvl="0" w:tplc="BD7AA8B2">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1"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15"/>
  </w:num>
  <w:num w:numId="2">
    <w:abstractNumId w:val="13"/>
  </w:num>
  <w:num w:numId="3">
    <w:abstractNumId w:val="4"/>
  </w:num>
  <w:num w:numId="4">
    <w:abstractNumId w:val="11"/>
  </w:num>
  <w:num w:numId="5">
    <w:abstractNumId w:val="1"/>
  </w:num>
  <w:num w:numId="6">
    <w:abstractNumId w:val="19"/>
  </w:num>
  <w:num w:numId="7">
    <w:abstractNumId w:val="20"/>
  </w:num>
  <w:num w:numId="8">
    <w:abstractNumId w:val="21"/>
  </w:num>
  <w:num w:numId="9">
    <w:abstractNumId w:val="12"/>
  </w:num>
  <w:num w:numId="10">
    <w:abstractNumId w:val="5"/>
  </w:num>
  <w:num w:numId="11">
    <w:abstractNumId w:val="6"/>
  </w:num>
  <w:num w:numId="12">
    <w:abstractNumId w:val="18"/>
  </w:num>
  <w:num w:numId="13">
    <w:abstractNumId w:val="16"/>
  </w:num>
  <w:num w:numId="14">
    <w:abstractNumId w:val="14"/>
  </w:num>
  <w:num w:numId="15">
    <w:abstractNumId w:val="9"/>
  </w:num>
  <w:num w:numId="16">
    <w:abstractNumId w:val="2"/>
  </w:num>
  <w:num w:numId="17">
    <w:abstractNumId w:val="3"/>
  </w:num>
  <w:num w:numId="18">
    <w:abstractNumId w:val="10"/>
  </w:num>
  <w:num w:numId="19">
    <w:abstractNumId w:val="7"/>
  </w:num>
  <w:num w:numId="20">
    <w:abstractNumId w:val="17"/>
  </w:num>
  <w:num w:numId="21">
    <w:abstractNumId w:val="8"/>
  </w:num>
  <w:num w:numId="22">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6BC"/>
    <w:rsid w:val="00003D1B"/>
    <w:rsid w:val="0001033D"/>
    <w:rsid w:val="000118B1"/>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419F"/>
    <w:rsid w:val="00121D44"/>
    <w:rsid w:val="00131E38"/>
    <w:rsid w:val="00133709"/>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D1AFC"/>
    <w:rsid w:val="002D3EA7"/>
    <w:rsid w:val="002D457E"/>
    <w:rsid w:val="002E1A84"/>
    <w:rsid w:val="002E3980"/>
    <w:rsid w:val="002E4405"/>
    <w:rsid w:val="002E6DAC"/>
    <w:rsid w:val="002F378E"/>
    <w:rsid w:val="00316A9C"/>
    <w:rsid w:val="00316C41"/>
    <w:rsid w:val="003175B8"/>
    <w:rsid w:val="00317E75"/>
    <w:rsid w:val="00323621"/>
    <w:rsid w:val="00324151"/>
    <w:rsid w:val="00325565"/>
    <w:rsid w:val="003270DD"/>
    <w:rsid w:val="00330134"/>
    <w:rsid w:val="00331966"/>
    <w:rsid w:val="00332B71"/>
    <w:rsid w:val="00332B81"/>
    <w:rsid w:val="00342BB1"/>
    <w:rsid w:val="0034573D"/>
    <w:rsid w:val="00345DBF"/>
    <w:rsid w:val="00351B94"/>
    <w:rsid w:val="003671EF"/>
    <w:rsid w:val="00375FD1"/>
    <w:rsid w:val="003800F3"/>
    <w:rsid w:val="003867E1"/>
    <w:rsid w:val="003917C6"/>
    <w:rsid w:val="003954C6"/>
    <w:rsid w:val="003964B5"/>
    <w:rsid w:val="003C3463"/>
    <w:rsid w:val="003C5877"/>
    <w:rsid w:val="003C5B02"/>
    <w:rsid w:val="003D5C34"/>
    <w:rsid w:val="003E1018"/>
    <w:rsid w:val="003E2094"/>
    <w:rsid w:val="003E326B"/>
    <w:rsid w:val="003E4BAA"/>
    <w:rsid w:val="003E6905"/>
    <w:rsid w:val="003E6E57"/>
    <w:rsid w:val="003F0AF3"/>
    <w:rsid w:val="003F315D"/>
    <w:rsid w:val="003F7242"/>
    <w:rsid w:val="003F7B49"/>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C10D1"/>
    <w:rsid w:val="004C1175"/>
    <w:rsid w:val="004C1F58"/>
    <w:rsid w:val="004C36DB"/>
    <w:rsid w:val="004C435E"/>
    <w:rsid w:val="004D131A"/>
    <w:rsid w:val="004D31EC"/>
    <w:rsid w:val="004E2AE5"/>
    <w:rsid w:val="004E5966"/>
    <w:rsid w:val="004F1261"/>
    <w:rsid w:val="0050641D"/>
    <w:rsid w:val="005065B9"/>
    <w:rsid w:val="00510CF9"/>
    <w:rsid w:val="00521401"/>
    <w:rsid w:val="00530B95"/>
    <w:rsid w:val="00531BE3"/>
    <w:rsid w:val="00531C3D"/>
    <w:rsid w:val="005369D7"/>
    <w:rsid w:val="00544072"/>
    <w:rsid w:val="00550AFC"/>
    <w:rsid w:val="00552EE7"/>
    <w:rsid w:val="00555F51"/>
    <w:rsid w:val="005565AC"/>
    <w:rsid w:val="00564E3C"/>
    <w:rsid w:val="005659A1"/>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D6B8F"/>
    <w:rsid w:val="005E2E2D"/>
    <w:rsid w:val="005E44FA"/>
    <w:rsid w:val="005F33CC"/>
    <w:rsid w:val="005F575E"/>
    <w:rsid w:val="006005B6"/>
    <w:rsid w:val="00601986"/>
    <w:rsid w:val="006021CF"/>
    <w:rsid w:val="00602B50"/>
    <w:rsid w:val="00603771"/>
    <w:rsid w:val="006047A9"/>
    <w:rsid w:val="00607334"/>
    <w:rsid w:val="006123C0"/>
    <w:rsid w:val="006174B7"/>
    <w:rsid w:val="0062578D"/>
    <w:rsid w:val="00630891"/>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7E0D"/>
    <w:rsid w:val="006F3A57"/>
    <w:rsid w:val="006F4B1F"/>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41F8"/>
    <w:rsid w:val="007610AB"/>
    <w:rsid w:val="00782C22"/>
    <w:rsid w:val="00784BFB"/>
    <w:rsid w:val="007862E9"/>
    <w:rsid w:val="00790C50"/>
    <w:rsid w:val="007967D9"/>
    <w:rsid w:val="007A0C17"/>
    <w:rsid w:val="007A0D4E"/>
    <w:rsid w:val="007A73AA"/>
    <w:rsid w:val="007A782D"/>
    <w:rsid w:val="007B4768"/>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D64A6"/>
    <w:rsid w:val="008E3483"/>
    <w:rsid w:val="008E5209"/>
    <w:rsid w:val="008F0494"/>
    <w:rsid w:val="008F1D6E"/>
    <w:rsid w:val="008F370D"/>
    <w:rsid w:val="009102FE"/>
    <w:rsid w:val="0091170D"/>
    <w:rsid w:val="00915DBE"/>
    <w:rsid w:val="009160E1"/>
    <w:rsid w:val="0092465C"/>
    <w:rsid w:val="00925C75"/>
    <w:rsid w:val="009263AC"/>
    <w:rsid w:val="00934890"/>
    <w:rsid w:val="009352D5"/>
    <w:rsid w:val="00950021"/>
    <w:rsid w:val="0096110F"/>
    <w:rsid w:val="00975299"/>
    <w:rsid w:val="009768FB"/>
    <w:rsid w:val="0098143F"/>
    <w:rsid w:val="00983315"/>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C6C96"/>
    <w:rsid w:val="00AD0ADD"/>
    <w:rsid w:val="00AE0BD1"/>
    <w:rsid w:val="00AE4E69"/>
    <w:rsid w:val="00AE5C01"/>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7FBE"/>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698D"/>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42310"/>
    <w:rsid w:val="00E474E8"/>
    <w:rsid w:val="00E4783D"/>
    <w:rsid w:val="00E529A2"/>
    <w:rsid w:val="00E55352"/>
    <w:rsid w:val="00E66462"/>
    <w:rsid w:val="00E74948"/>
    <w:rsid w:val="00E85EDC"/>
    <w:rsid w:val="00E91A09"/>
    <w:rsid w:val="00E95051"/>
    <w:rsid w:val="00EA4287"/>
    <w:rsid w:val="00EB345E"/>
    <w:rsid w:val="00EB4CD4"/>
    <w:rsid w:val="00EC21F6"/>
    <w:rsid w:val="00EC3814"/>
    <w:rsid w:val="00EC63B6"/>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inave.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b.mx/salud/acciones-y-programas/direccion-general-de-epidemiologia-boletin-epidemiologico"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vectores.sinave.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6ECAA-2E16-472C-B00C-A95B672FC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Template>
  <TotalTime>3</TotalTime>
  <Pages>8</Pages>
  <Words>2650</Words>
  <Characters>14580</Characters>
  <Application>Microsoft Office Word</Application>
  <DocSecurity>0</DocSecurity>
  <Lines>121</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Lenovo</cp:lastModifiedBy>
  <cp:revision>7</cp:revision>
  <cp:lastPrinted>2022-06-17T19:35:00Z</cp:lastPrinted>
  <dcterms:created xsi:type="dcterms:W3CDTF">2022-11-14T21:48:00Z</dcterms:created>
  <dcterms:modified xsi:type="dcterms:W3CDTF">2022-12-01T18:19:00Z</dcterms:modified>
</cp:coreProperties>
</file>